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1738EF"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7259DF" w:rsidRDefault="007259DF" w:rsidP="007259DF">
            <w:pPr>
              <w:pStyle w:val="NOSNumberList"/>
              <w:numPr>
                <w:ilvl w:val="0"/>
                <w:numId w:val="0"/>
              </w:numPr>
              <w:spacing w:line="276" w:lineRule="exact"/>
            </w:pPr>
            <w:bookmarkStart w:id="1" w:name="StartOverview"/>
            <w:bookmarkEnd w:id="1"/>
            <w:r>
              <w:t>This standard covers the competence required to contribute to the operation of vessels including the handling (loading, unloading), securing and care of cargo or other operations for which the vessel is purposely designed.</w:t>
            </w:r>
          </w:p>
          <w:p w:rsidR="007259DF" w:rsidRDefault="007259DF" w:rsidP="007259DF">
            <w:pPr>
              <w:pStyle w:val="NOSNumberList"/>
              <w:numPr>
                <w:ilvl w:val="0"/>
                <w:numId w:val="0"/>
              </w:numPr>
              <w:spacing w:line="276" w:lineRule="exact"/>
            </w:pPr>
          </w:p>
          <w:p w:rsidR="007259DF" w:rsidRDefault="007259DF" w:rsidP="007259DF">
            <w:pPr>
              <w:pStyle w:val="NOSNumberList"/>
              <w:numPr>
                <w:ilvl w:val="0"/>
                <w:numId w:val="0"/>
              </w:numPr>
              <w:spacing w:line="276" w:lineRule="exact"/>
            </w:pPr>
            <w:r>
              <w:t>It provides for the development of specialist skills and knowledge associated with the main purpose of the vessel.</w:t>
            </w:r>
          </w:p>
          <w:p w:rsidR="007259DF" w:rsidRDefault="007259DF" w:rsidP="007259DF">
            <w:pPr>
              <w:pStyle w:val="NOSNumberList"/>
              <w:numPr>
                <w:ilvl w:val="0"/>
                <w:numId w:val="0"/>
              </w:numPr>
              <w:spacing w:line="276" w:lineRule="exact"/>
            </w:pPr>
          </w:p>
          <w:p w:rsidR="006B6E2D" w:rsidRPr="006B6E2D" w:rsidRDefault="006B6E2D" w:rsidP="007259DF">
            <w:pPr>
              <w:pStyle w:val="NOSNumberList"/>
              <w:numPr>
                <w:ilvl w:val="0"/>
                <w:numId w:val="0"/>
              </w:numPr>
              <w:spacing w:line="276" w:lineRule="exact"/>
              <w:rPr>
                <w:b/>
              </w:rPr>
            </w:pPr>
            <w:r>
              <w:rPr>
                <w:b/>
              </w:rPr>
              <w:t>Target Group</w:t>
            </w:r>
          </w:p>
          <w:p w:rsidR="007259DF" w:rsidRDefault="007259DF" w:rsidP="007259DF">
            <w:pPr>
              <w:pStyle w:val="NOSNumberList"/>
              <w:numPr>
                <w:ilvl w:val="0"/>
                <w:numId w:val="0"/>
              </w:numPr>
              <w:spacing w:line="276" w:lineRule="exact"/>
            </w:pPr>
            <w:r>
              <w:t>This standard applies to individuals at the support level with responsibility for supporting the implementation of operations on any size vessel working in any operational area.</w:t>
            </w:r>
          </w:p>
          <w:p w:rsidR="007259DF" w:rsidRDefault="007259DF" w:rsidP="007259DF">
            <w:pPr>
              <w:pStyle w:val="NOSNumberList"/>
              <w:numPr>
                <w:ilvl w:val="0"/>
                <w:numId w:val="0"/>
              </w:numPr>
              <w:spacing w:line="276" w:lineRule="exact"/>
            </w:pPr>
          </w:p>
          <w:p w:rsidR="00EE5D4B" w:rsidRDefault="00EE5D4B" w:rsidP="007259DF">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1738EF"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8464A9" w:rsidRDefault="008464A9" w:rsidP="008464A9">
            <w:pPr>
              <w:pStyle w:val="NOSBodyHeading"/>
              <w:spacing w:line="276" w:lineRule="auto"/>
              <w:rPr>
                <w:b w:val="0"/>
              </w:rPr>
            </w:pPr>
            <w:bookmarkStart w:id="4" w:name="StartPerformance"/>
            <w:bookmarkEnd w:id="4"/>
          </w:p>
          <w:p w:rsidR="008464A9" w:rsidRDefault="008464A9" w:rsidP="008464A9">
            <w:pPr>
              <w:pStyle w:val="NOSBodyHeading"/>
              <w:spacing w:line="276" w:lineRule="auto"/>
              <w:rPr>
                <w:b w:val="0"/>
              </w:rPr>
            </w:pPr>
          </w:p>
          <w:p w:rsidR="008464A9" w:rsidRDefault="008464A9" w:rsidP="008464A9">
            <w:pPr>
              <w:pStyle w:val="NOSBodyHeading"/>
              <w:spacing w:line="276" w:lineRule="auto"/>
              <w:rPr>
                <w:b w:val="0"/>
              </w:rPr>
            </w:pPr>
          </w:p>
          <w:p w:rsidR="008464A9" w:rsidRPr="001B0A7B" w:rsidRDefault="009D42E0" w:rsidP="008464A9">
            <w:pPr>
              <w:pStyle w:val="NOSBodyHeading"/>
              <w:numPr>
                <w:ilvl w:val="0"/>
                <w:numId w:val="17"/>
              </w:numPr>
              <w:spacing w:line="276" w:lineRule="auto"/>
              <w:rPr>
                <w:b w:val="0"/>
              </w:rPr>
            </w:pPr>
            <w:r>
              <w:rPr>
                <w:b w:val="0"/>
              </w:rPr>
              <w:t>s</w:t>
            </w:r>
            <w:r w:rsidR="008464A9">
              <w:rPr>
                <w:b w:val="0"/>
              </w:rPr>
              <w:t>elect the correct type and quantity of equipment and materials to carry out the operation</w:t>
            </w:r>
          </w:p>
          <w:p w:rsidR="008464A9" w:rsidRPr="001B0A7B" w:rsidRDefault="009D42E0" w:rsidP="008464A9">
            <w:pPr>
              <w:pStyle w:val="NOSBodyHeading"/>
              <w:numPr>
                <w:ilvl w:val="0"/>
                <w:numId w:val="17"/>
              </w:numPr>
              <w:spacing w:line="276" w:lineRule="auto"/>
              <w:rPr>
                <w:b w:val="0"/>
              </w:rPr>
            </w:pPr>
            <w:r>
              <w:rPr>
                <w:b w:val="0"/>
              </w:rPr>
              <w:t>p</w:t>
            </w:r>
            <w:r w:rsidR="008464A9">
              <w:rPr>
                <w:b w:val="0"/>
              </w:rPr>
              <w:t>repare equipment in accordance with operating practice and safety</w:t>
            </w:r>
          </w:p>
          <w:p w:rsidR="008464A9" w:rsidRPr="001B0A7B" w:rsidRDefault="009D42E0" w:rsidP="008464A9">
            <w:pPr>
              <w:pStyle w:val="NOSBodyHeading"/>
              <w:numPr>
                <w:ilvl w:val="0"/>
                <w:numId w:val="17"/>
              </w:numPr>
              <w:spacing w:line="276" w:lineRule="auto"/>
              <w:rPr>
                <w:b w:val="0"/>
              </w:rPr>
            </w:pPr>
            <w:r>
              <w:rPr>
                <w:b w:val="0"/>
              </w:rPr>
              <w:t>c</w:t>
            </w:r>
            <w:r w:rsidR="008464A9">
              <w:rPr>
                <w:b w:val="0"/>
              </w:rPr>
              <w:t>onfirm that equipment is in working order and preparations are complete</w:t>
            </w:r>
          </w:p>
          <w:p w:rsidR="008464A9" w:rsidRPr="001B0A7B" w:rsidRDefault="009D42E0" w:rsidP="008464A9">
            <w:pPr>
              <w:pStyle w:val="NOSBodyHeading"/>
              <w:numPr>
                <w:ilvl w:val="0"/>
                <w:numId w:val="17"/>
              </w:numPr>
              <w:spacing w:line="276" w:lineRule="auto"/>
              <w:rPr>
                <w:b w:val="0"/>
              </w:rPr>
            </w:pPr>
            <w:r>
              <w:rPr>
                <w:b w:val="0"/>
              </w:rPr>
              <w:t>i</w:t>
            </w:r>
            <w:r w:rsidR="008464A9">
              <w:rPr>
                <w:b w:val="0"/>
              </w:rPr>
              <w:t>dentify and promptly report any faults or deficiencies in equipment and materials</w:t>
            </w:r>
          </w:p>
          <w:p w:rsidR="008464A9" w:rsidRPr="001B0A7B" w:rsidRDefault="009D42E0" w:rsidP="008464A9">
            <w:pPr>
              <w:pStyle w:val="NOSBodyHeading"/>
              <w:numPr>
                <w:ilvl w:val="0"/>
                <w:numId w:val="17"/>
              </w:numPr>
              <w:spacing w:line="276" w:lineRule="auto"/>
              <w:rPr>
                <w:b w:val="0"/>
              </w:rPr>
            </w:pPr>
            <w:r>
              <w:rPr>
                <w:b w:val="0"/>
              </w:rPr>
              <w:t>c</w:t>
            </w:r>
            <w:r w:rsidR="008464A9">
              <w:rPr>
                <w:b w:val="0"/>
              </w:rPr>
              <w:t>orrectly carry out required tasks relating to operations, in accordance with operating practice and safety requirements</w:t>
            </w:r>
          </w:p>
          <w:p w:rsidR="008464A9" w:rsidRPr="001B0A7B" w:rsidRDefault="009D42E0" w:rsidP="008464A9">
            <w:pPr>
              <w:pStyle w:val="NOSBodyHeading"/>
              <w:numPr>
                <w:ilvl w:val="0"/>
                <w:numId w:val="17"/>
              </w:numPr>
              <w:spacing w:line="276" w:lineRule="auto"/>
              <w:rPr>
                <w:b w:val="0"/>
              </w:rPr>
            </w:pPr>
            <w:r>
              <w:rPr>
                <w:b w:val="0"/>
              </w:rPr>
              <w:t>c</w:t>
            </w:r>
            <w:r w:rsidR="008464A9">
              <w:rPr>
                <w:b w:val="0"/>
              </w:rPr>
              <w:t>orrectly operate equipment associated with the operations, including appropriate use of communication systems</w:t>
            </w:r>
          </w:p>
          <w:p w:rsidR="008464A9" w:rsidRPr="001B0A7B" w:rsidRDefault="009D42E0" w:rsidP="008464A9">
            <w:pPr>
              <w:pStyle w:val="NOSBodyHeading"/>
              <w:numPr>
                <w:ilvl w:val="0"/>
                <w:numId w:val="17"/>
              </w:numPr>
              <w:spacing w:line="276" w:lineRule="auto"/>
              <w:rPr>
                <w:b w:val="0"/>
              </w:rPr>
            </w:pPr>
            <w:r>
              <w:rPr>
                <w:b w:val="0"/>
              </w:rPr>
              <w:t>t</w:t>
            </w:r>
            <w:r w:rsidR="008464A9">
              <w:rPr>
                <w:b w:val="0"/>
              </w:rPr>
              <w:t>ake the appropriate actions in emergency situations</w:t>
            </w:r>
          </w:p>
          <w:p w:rsidR="008464A9" w:rsidRPr="001B0A7B" w:rsidRDefault="009D42E0" w:rsidP="008464A9">
            <w:pPr>
              <w:pStyle w:val="NOSBodyHeading"/>
              <w:numPr>
                <w:ilvl w:val="0"/>
                <w:numId w:val="17"/>
              </w:numPr>
              <w:spacing w:line="276" w:lineRule="auto"/>
              <w:rPr>
                <w:b w:val="0"/>
              </w:rPr>
            </w:pPr>
            <w:r>
              <w:rPr>
                <w:b w:val="0"/>
              </w:rPr>
              <w:t>c</w:t>
            </w:r>
            <w:r w:rsidR="008464A9">
              <w:rPr>
                <w:b w:val="0"/>
              </w:rPr>
              <w:t>orrectly secure the equipment and shut down operations on completion of the operation</w:t>
            </w:r>
          </w:p>
          <w:p w:rsidR="003C6D88" w:rsidRPr="001B0A7B" w:rsidRDefault="009D42E0" w:rsidP="008464A9">
            <w:pPr>
              <w:pStyle w:val="NOSBodyHeading"/>
              <w:numPr>
                <w:ilvl w:val="0"/>
                <w:numId w:val="17"/>
              </w:numPr>
              <w:spacing w:line="276" w:lineRule="auto"/>
              <w:rPr>
                <w:b w:val="0"/>
              </w:rPr>
            </w:pPr>
            <w:r>
              <w:rPr>
                <w:b w:val="0"/>
              </w:rPr>
              <w:t>u</w:t>
            </w:r>
            <w:r w:rsidR="008464A9">
              <w:rPr>
                <w:b w:val="0"/>
              </w:rPr>
              <w:t>se effective</w:t>
            </w:r>
            <w:r w:rsidR="00023BD3">
              <w:rPr>
                <w:b w:val="0"/>
              </w:rPr>
              <w:t>,</w:t>
            </w:r>
            <w:r w:rsidR="008464A9">
              <w:rPr>
                <w:b w:val="0"/>
              </w:rPr>
              <w:t xml:space="preserve"> safe working practices</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1738EF"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555D76" w:rsidRDefault="00555D76" w:rsidP="00555D76">
            <w:pPr>
              <w:pStyle w:val="NOSBodyHeading"/>
              <w:spacing w:line="276" w:lineRule="auto"/>
              <w:rPr>
                <w:rFonts w:cs="Arial"/>
                <w:b w:val="0"/>
              </w:rPr>
            </w:pPr>
            <w:bookmarkStart w:id="7" w:name="StartKnowledge"/>
            <w:bookmarkEnd w:id="7"/>
          </w:p>
          <w:p w:rsidR="006B6E2D" w:rsidRDefault="006B6E2D" w:rsidP="00555D76">
            <w:pPr>
              <w:pStyle w:val="NOSBodyHeading"/>
              <w:spacing w:line="276" w:lineRule="auto"/>
              <w:rPr>
                <w:rFonts w:cs="Arial"/>
                <w:b w:val="0"/>
              </w:rPr>
            </w:pPr>
          </w:p>
          <w:p w:rsidR="00555D76" w:rsidRPr="001B0A7B" w:rsidRDefault="00555D76" w:rsidP="00555D76">
            <w:pPr>
              <w:pStyle w:val="NOSBodyHeading"/>
              <w:spacing w:line="276" w:lineRule="auto"/>
              <w:rPr>
                <w:b w:val="0"/>
              </w:rPr>
            </w:pPr>
          </w:p>
          <w:p w:rsidR="00555D76" w:rsidRPr="001B0A7B" w:rsidRDefault="009D42E0" w:rsidP="00555D76">
            <w:pPr>
              <w:pStyle w:val="NOSBodyHeading"/>
              <w:numPr>
                <w:ilvl w:val="0"/>
                <w:numId w:val="18"/>
              </w:numPr>
              <w:spacing w:line="276" w:lineRule="auto"/>
              <w:rPr>
                <w:b w:val="0"/>
              </w:rPr>
            </w:pPr>
            <w:r>
              <w:rPr>
                <w:rFonts w:cs="Arial"/>
                <w:b w:val="0"/>
              </w:rPr>
              <w:t>v</w:t>
            </w:r>
            <w:r w:rsidR="00555D76">
              <w:rPr>
                <w:rFonts w:cs="Arial"/>
                <w:b w:val="0"/>
              </w:rPr>
              <w:t>essel construction and operational features</w:t>
            </w:r>
          </w:p>
          <w:p w:rsidR="00555D76" w:rsidRPr="001B0A7B" w:rsidRDefault="009D42E0" w:rsidP="00555D76">
            <w:pPr>
              <w:pStyle w:val="NOSBodyHeading"/>
              <w:numPr>
                <w:ilvl w:val="0"/>
                <w:numId w:val="18"/>
              </w:numPr>
              <w:spacing w:line="276" w:lineRule="auto"/>
              <w:rPr>
                <w:b w:val="0"/>
              </w:rPr>
            </w:pPr>
            <w:r>
              <w:rPr>
                <w:rFonts w:cs="Arial"/>
                <w:b w:val="0"/>
              </w:rPr>
              <w:t>t</w:t>
            </w:r>
            <w:r w:rsidR="00555D76">
              <w:rPr>
                <w:rFonts w:cs="Arial"/>
                <w:b w:val="0"/>
              </w:rPr>
              <w:t>he use of deck and other equipment required for operations</w:t>
            </w:r>
          </w:p>
          <w:p w:rsidR="00555D76" w:rsidRPr="001B0A7B" w:rsidRDefault="009D42E0" w:rsidP="00555D76">
            <w:pPr>
              <w:pStyle w:val="NOSBodyHeading"/>
              <w:numPr>
                <w:ilvl w:val="0"/>
                <w:numId w:val="18"/>
              </w:numPr>
              <w:spacing w:line="276" w:lineRule="auto"/>
              <w:rPr>
                <w:b w:val="0"/>
              </w:rPr>
            </w:pPr>
            <w:r>
              <w:rPr>
                <w:rFonts w:cs="Arial"/>
                <w:b w:val="0"/>
              </w:rPr>
              <w:t>t</w:t>
            </w:r>
            <w:r w:rsidR="00555D76">
              <w:rPr>
                <w:rFonts w:cs="Arial"/>
                <w:b w:val="0"/>
              </w:rPr>
              <w:t>he safe working practices to be observed during vessel operations</w:t>
            </w:r>
          </w:p>
          <w:p w:rsidR="00555D76" w:rsidRPr="001B0A7B" w:rsidRDefault="009D42E0" w:rsidP="00555D76">
            <w:pPr>
              <w:pStyle w:val="NOSBodyHeading"/>
              <w:numPr>
                <w:ilvl w:val="0"/>
                <w:numId w:val="18"/>
              </w:numPr>
              <w:spacing w:line="276" w:lineRule="auto"/>
              <w:rPr>
                <w:b w:val="0"/>
              </w:rPr>
            </w:pPr>
            <w:r>
              <w:rPr>
                <w:rFonts w:cs="Arial"/>
                <w:b w:val="0"/>
              </w:rPr>
              <w:t>t</w:t>
            </w:r>
            <w:r w:rsidR="00555D76">
              <w:rPr>
                <w:rFonts w:cs="Arial"/>
                <w:b w:val="0"/>
              </w:rPr>
              <w:t>he preparations and operations for cargo handling, stowage and carriage</w:t>
            </w:r>
          </w:p>
          <w:p w:rsidR="00555D76" w:rsidRPr="001B0A7B" w:rsidRDefault="009D42E0" w:rsidP="00555D76">
            <w:pPr>
              <w:pStyle w:val="NOSBodyHeading"/>
              <w:numPr>
                <w:ilvl w:val="0"/>
                <w:numId w:val="18"/>
              </w:numPr>
              <w:spacing w:line="276" w:lineRule="auto"/>
              <w:rPr>
                <w:b w:val="0"/>
              </w:rPr>
            </w:pPr>
            <w:r>
              <w:rPr>
                <w:rFonts w:cs="Arial"/>
                <w:b w:val="0"/>
              </w:rPr>
              <w:t>s</w:t>
            </w:r>
            <w:r w:rsidR="00555D76">
              <w:rPr>
                <w:rFonts w:cs="Arial"/>
                <w:b w:val="0"/>
              </w:rPr>
              <w:t>tatutory regulations and guidelines, organisational instructions and guidance</w:t>
            </w:r>
            <w:r w:rsidR="00023BD3">
              <w:rPr>
                <w:rFonts w:cs="Arial"/>
                <w:b w:val="0"/>
              </w:rPr>
              <w:t>,</w:t>
            </w:r>
            <w:r w:rsidR="00555D76">
              <w:rPr>
                <w:rFonts w:cs="Arial"/>
                <w:b w:val="0"/>
              </w:rPr>
              <w:t xml:space="preserve"> and vessel contingency plans</w:t>
            </w:r>
          </w:p>
          <w:p w:rsidR="00006091" w:rsidRPr="001B0A7B" w:rsidRDefault="00006091" w:rsidP="00555D76">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E835E9" w:rsidP="001F6BF7">
            <w:pPr>
              <w:pStyle w:val="NOSBodyText"/>
            </w:pPr>
            <w:bookmarkStart w:id="9" w:name="StartDevelopedBy"/>
            <w:bookmarkEnd w:id="9"/>
            <w:r>
              <w:t>Merchant Navy Training Board</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1738EF"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6B6E2D"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1738E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202B2F" w:rsidP="006B6E2D">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6B6E2D" w:rsidRPr="004E05F7" w:rsidRDefault="006B6E2D" w:rsidP="006B6E2D">
            <w:pPr>
              <w:pStyle w:val="NOSBodyText"/>
              <w:rPr>
                <w:color w:val="221E1F"/>
              </w:rPr>
            </w:pPr>
          </w:p>
        </w:tc>
      </w:tr>
      <w:tr w:rsidR="0052780A" w:rsidRPr="00CF4D98" w:rsidTr="00690067">
        <w:tc>
          <w:tcPr>
            <w:tcW w:w="2518" w:type="dxa"/>
          </w:tcPr>
          <w:p w:rsidR="0052780A" w:rsidRDefault="001738EF"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202B2F" w:rsidP="006B6E2D">
            <w:pPr>
              <w:pStyle w:val="NOSBodyText"/>
              <w:rPr>
                <w:color w:val="221E1F"/>
              </w:rPr>
            </w:pPr>
            <w:bookmarkStart w:id="16" w:name="StartReview"/>
            <w:bookmarkStart w:id="17" w:name="EndReview"/>
            <w:bookmarkEnd w:id="16"/>
            <w:bookmarkEnd w:id="17"/>
            <w:r>
              <w:rPr>
                <w:color w:val="221E1F"/>
              </w:rPr>
              <w:t>December 2016</w:t>
            </w:r>
            <w:bookmarkStart w:id="18" w:name="Endindicativeapproveddate"/>
            <w:bookmarkEnd w:id="18"/>
          </w:p>
        </w:tc>
      </w:tr>
      <w:tr w:rsidR="0052780A" w:rsidRPr="00CF4D98" w:rsidTr="00690067">
        <w:tc>
          <w:tcPr>
            <w:tcW w:w="2518" w:type="dxa"/>
          </w:tcPr>
          <w:p w:rsidR="0052780A" w:rsidRPr="004E05F7" w:rsidRDefault="001738E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E835E9" w:rsidP="00690067">
            <w:pPr>
              <w:pStyle w:val="NOSBodyText"/>
              <w:rPr>
                <w:rStyle w:val="A3"/>
              </w:rPr>
            </w:pPr>
            <w:bookmarkStart w:id="19" w:name="StartValidity"/>
            <w:bookmarkEnd w:id="19"/>
            <w:r>
              <w:rPr>
                <w:rStyle w:val="A3"/>
              </w:rPr>
              <w:t>Current</w:t>
            </w:r>
          </w:p>
          <w:p w:rsidR="0052780A" w:rsidRPr="004E05F7" w:rsidRDefault="0052780A" w:rsidP="00690067">
            <w:pPr>
              <w:pStyle w:val="NOSBodyText"/>
              <w:rPr>
                <w:color w:val="221E1F"/>
              </w:rPr>
            </w:pPr>
            <w:bookmarkStart w:id="20" w:name="EndValidity"/>
            <w:bookmarkEnd w:id="20"/>
          </w:p>
        </w:tc>
      </w:tr>
      <w:tr w:rsidR="0052780A" w:rsidRPr="00CF4D98" w:rsidTr="00690067">
        <w:tc>
          <w:tcPr>
            <w:tcW w:w="2518" w:type="dxa"/>
          </w:tcPr>
          <w:p w:rsidR="0052780A" w:rsidRPr="004E05F7" w:rsidRDefault="001738E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E835E9" w:rsidP="001F6BF7">
            <w:pPr>
              <w:pStyle w:val="NOSBodyText"/>
              <w:rPr>
                <w:color w:val="221E1F"/>
              </w:rPr>
            </w:pPr>
            <w:bookmarkStart w:id="21" w:name="StartStatus"/>
            <w:bookmarkEnd w:id="21"/>
            <w:r>
              <w:rPr>
                <w:color w:val="221E1F"/>
              </w:rPr>
              <w:t>Original</w:t>
            </w:r>
          </w:p>
          <w:p w:rsidR="001F6BF7" w:rsidRPr="004E05F7" w:rsidRDefault="001F6BF7" w:rsidP="001F6BF7">
            <w:pPr>
              <w:pStyle w:val="NOSBodyText"/>
              <w:rPr>
                <w:color w:val="221E1F"/>
              </w:rPr>
            </w:pPr>
            <w:bookmarkStart w:id="22" w:name="EndStatus"/>
            <w:bookmarkEnd w:id="22"/>
          </w:p>
        </w:tc>
      </w:tr>
      <w:tr w:rsidR="0052780A" w:rsidRPr="00CF4D98" w:rsidTr="00690067">
        <w:tc>
          <w:tcPr>
            <w:tcW w:w="2518" w:type="dxa"/>
          </w:tcPr>
          <w:p w:rsidR="0052780A" w:rsidRDefault="001738EF"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6B6E2D" w:rsidP="001F6BF7">
            <w:pPr>
              <w:pStyle w:val="NOSBodyText"/>
              <w:rPr>
                <w:color w:val="221E1F"/>
              </w:rPr>
            </w:pPr>
            <w:bookmarkStart w:id="23" w:name="StartOrigin"/>
            <w:bookmarkEnd w:id="23"/>
            <w:r>
              <w:rPr>
                <w:color w:val="221E1F"/>
              </w:rPr>
              <w:t>Skills for Justice</w:t>
            </w:r>
          </w:p>
          <w:p w:rsidR="005E6FAE" w:rsidRPr="004E05F7" w:rsidRDefault="005E6FAE" w:rsidP="001F6BF7">
            <w:pPr>
              <w:pStyle w:val="NOSBodyText"/>
              <w:rPr>
                <w:color w:val="221E1F"/>
              </w:rPr>
            </w:pPr>
            <w:bookmarkStart w:id="24" w:name="EndOrigin"/>
            <w:bookmarkEnd w:id="24"/>
          </w:p>
        </w:tc>
      </w:tr>
      <w:tr w:rsidR="0052780A" w:rsidRPr="00CF4D98" w:rsidTr="00690067">
        <w:tc>
          <w:tcPr>
            <w:tcW w:w="2518" w:type="dxa"/>
          </w:tcPr>
          <w:p w:rsidR="0052780A" w:rsidRPr="004E05F7" w:rsidRDefault="001738E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202B2F" w:rsidP="001F6BF7">
            <w:pPr>
              <w:pStyle w:val="NOSBodyText"/>
              <w:rPr>
                <w:color w:val="221E1F"/>
              </w:rPr>
            </w:pPr>
            <w:bookmarkStart w:id="25" w:name="StartOriginURN"/>
            <w:bookmarkEnd w:id="25"/>
            <w:r>
              <w:rPr>
                <w:color w:val="221E1F"/>
              </w:rPr>
              <w:t xml:space="preserve">MSA </w:t>
            </w:r>
            <w:r w:rsidR="00587646">
              <w:rPr>
                <w:color w:val="221E1F"/>
              </w:rPr>
              <w:t>B13</w:t>
            </w:r>
          </w:p>
          <w:p w:rsidR="001F6BF7" w:rsidRPr="004E05F7" w:rsidRDefault="001F6BF7" w:rsidP="001F6BF7">
            <w:pPr>
              <w:pStyle w:val="NOSBodyText"/>
              <w:rPr>
                <w:color w:val="221E1F"/>
              </w:rPr>
            </w:pPr>
            <w:bookmarkStart w:id="26" w:name="EndOriginURN"/>
            <w:bookmarkEnd w:id="26"/>
          </w:p>
        </w:tc>
      </w:tr>
      <w:tr w:rsidR="0052780A" w:rsidRPr="00CF4D98" w:rsidTr="00690067">
        <w:tc>
          <w:tcPr>
            <w:tcW w:w="2518" w:type="dxa"/>
          </w:tcPr>
          <w:p w:rsidR="0052780A" w:rsidRDefault="001738EF"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587646" w:rsidRDefault="00587646" w:rsidP="00587646">
            <w:pPr>
              <w:rPr>
                <w:rFonts w:ascii="Arial" w:hAnsi="Arial" w:cs="Arial"/>
              </w:rPr>
            </w:pPr>
            <w:bookmarkStart w:id="27" w:name="StartOccupations"/>
            <w:bookmarkStart w:id="28" w:name="EndOccupations"/>
            <w:bookmarkEnd w:id="27"/>
            <w:bookmarkEnd w:id="28"/>
            <w:r w:rsidRPr="00C91179">
              <w:rPr>
                <w:rFonts w:ascii="Arial" w:hAnsi="Arial" w:cs="Arial"/>
                <w:color w:val="221E1F"/>
              </w:rPr>
              <w:t>navigation officer; engineer; deck officer; able seaman</w:t>
            </w:r>
            <w:bookmarkStart w:id="29" w:name="Endrelevantoccupations"/>
            <w:bookmarkEnd w:id="29"/>
          </w:p>
        </w:tc>
      </w:tr>
      <w:tr w:rsidR="0052780A" w:rsidRPr="00CF4D98" w:rsidTr="00690067">
        <w:tc>
          <w:tcPr>
            <w:tcW w:w="2518" w:type="dxa"/>
          </w:tcPr>
          <w:p w:rsidR="0052780A" w:rsidRPr="004E05F7" w:rsidRDefault="001738E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6B6E2D" w:rsidP="001F6BF7">
            <w:pPr>
              <w:pStyle w:val="NOSBodyText"/>
              <w:rPr>
                <w:color w:val="221E1F"/>
              </w:rPr>
            </w:pPr>
            <w:bookmarkStart w:id="30" w:name="StartSuite"/>
            <w:bookmarkEnd w:id="30"/>
            <w:r>
              <w:rPr>
                <w:color w:val="221E1F"/>
              </w:rPr>
              <w:t>Maritime</w:t>
            </w:r>
          </w:p>
          <w:p w:rsidR="001F6BF7" w:rsidRPr="004E05F7" w:rsidRDefault="001F6BF7" w:rsidP="001F6BF7">
            <w:pPr>
              <w:pStyle w:val="NOSBodyText"/>
              <w:rPr>
                <w:color w:val="221E1F"/>
              </w:rPr>
            </w:pPr>
            <w:bookmarkStart w:id="31" w:name="EndSuite"/>
            <w:bookmarkEnd w:id="31"/>
          </w:p>
        </w:tc>
      </w:tr>
      <w:tr w:rsidR="0052780A" w:rsidRPr="00CF4D98" w:rsidTr="00690067">
        <w:tc>
          <w:tcPr>
            <w:tcW w:w="2518" w:type="dxa"/>
          </w:tcPr>
          <w:p w:rsidR="0052780A" w:rsidRPr="004E05F7" w:rsidRDefault="001738E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87646" w:rsidRDefault="00587646" w:rsidP="00587646">
            <w:pPr>
              <w:pStyle w:val="NOSNumberList"/>
              <w:numPr>
                <w:ilvl w:val="0"/>
                <w:numId w:val="0"/>
              </w:numPr>
              <w:spacing w:line="276" w:lineRule="exact"/>
            </w:pPr>
            <w:bookmarkStart w:id="32" w:name="StartKeywords"/>
            <w:bookmarkEnd w:id="32"/>
            <w:r>
              <w:t>operation of vessels; handling; loading; unloading; securing; care of cargo</w:t>
            </w:r>
            <w:bookmarkStart w:id="33" w:name="endKeywords"/>
            <w:bookmarkEnd w:id="33"/>
            <w:r>
              <w:t xml:space="preserve"> </w:t>
            </w:r>
          </w:p>
          <w:p w:rsidR="0052780A" w:rsidRDefault="0052780A" w:rsidP="00690067">
            <w:pPr>
              <w:pStyle w:val="NOSBodyText"/>
              <w:rPr>
                <w:color w:val="221E1F"/>
              </w:rPr>
            </w:pPr>
          </w:p>
          <w:p w:rsidR="0052780A" w:rsidRPr="004E05F7" w:rsidRDefault="0052780A" w:rsidP="00690067">
            <w:pPr>
              <w:pStyle w:val="NOSBodyText"/>
              <w:rPr>
                <w:color w:val="221E1F"/>
              </w:rPr>
            </w:pPr>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202B2F" w:rsidP="009F7CB5">
    <w:pPr>
      <w:pStyle w:val="Footer"/>
      <w:tabs>
        <w:tab w:val="left" w:pos="1200"/>
        <w:tab w:val="right" w:pos="10206"/>
      </w:tabs>
      <w:rPr>
        <w:sz w:val="18"/>
        <w:szCs w:val="18"/>
      </w:rPr>
    </w:pPr>
    <w:r w:rsidRPr="00202B2F">
      <w:rPr>
        <w:rFonts w:ascii="Arial" w:eastAsiaTheme="minorHAnsi" w:hAnsi="Arial" w:cs="Arial"/>
        <w:noProof/>
        <w:sz w:val="14"/>
        <w:szCs w:val="14"/>
      </w:rPr>
      <w:t>MSA B13</w:t>
    </w:r>
    <w:r>
      <w:rPr>
        <w:rFonts w:ascii="Arial" w:eastAsiaTheme="minorHAnsi" w:hAnsi="Arial" w:cs="Arial"/>
        <w:noProof/>
        <w:sz w:val="14"/>
        <w:szCs w:val="14"/>
      </w:rPr>
      <w:t xml:space="preserve"> </w:t>
    </w:r>
    <w:r w:rsidRPr="00202B2F">
      <w:rPr>
        <w:rFonts w:ascii="Arial" w:eastAsiaTheme="minorHAnsi" w:hAnsi="Arial" w:cs="Arial"/>
        <w:noProof/>
        <w:sz w:val="14"/>
        <w:szCs w:val="14"/>
      </w:rPr>
      <w:t>Contribute to vessel operations</w:t>
    </w:r>
    <w:r w:rsidR="009F7CB5" w:rsidRPr="00202B2F">
      <w:rPr>
        <w:sz w:val="14"/>
        <w:szCs w:val="14"/>
      </w:rPr>
      <w:tab/>
    </w:r>
    <w:r w:rsidR="009F7CB5">
      <w:rPr>
        <w:sz w:val="18"/>
        <w:szCs w:val="18"/>
      </w:rPr>
      <w:tab/>
    </w:r>
    <w:r w:rsidR="009F7CB5">
      <w:rPr>
        <w:sz w:val="18"/>
        <w:szCs w:val="18"/>
      </w:rPr>
      <w:tab/>
    </w:r>
    <w:r w:rsidR="001738EF"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1738EF" w:rsidRPr="008C0064">
      <w:rPr>
        <w:rFonts w:ascii="Arial" w:hAnsi="Arial" w:cs="Arial"/>
        <w:sz w:val="14"/>
        <w:szCs w:val="14"/>
      </w:rPr>
      <w:fldChar w:fldCharType="separate"/>
    </w:r>
    <w:r w:rsidR="009B1726">
      <w:rPr>
        <w:rFonts w:ascii="Arial" w:hAnsi="Arial" w:cs="Arial"/>
        <w:noProof/>
        <w:sz w:val="14"/>
        <w:szCs w:val="14"/>
      </w:rPr>
      <w:t>4</w:t>
    </w:r>
    <w:r w:rsidR="001738EF"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202B2F" w:rsidP="0086259F">
    <w:pPr>
      <w:pStyle w:val="Footer"/>
      <w:tabs>
        <w:tab w:val="left" w:pos="1200"/>
        <w:tab w:val="right" w:pos="10206"/>
      </w:tabs>
      <w:rPr>
        <w:sz w:val="18"/>
        <w:szCs w:val="18"/>
      </w:rPr>
    </w:pPr>
    <w:r w:rsidRPr="00202B2F">
      <w:rPr>
        <w:rFonts w:ascii="Arial" w:eastAsiaTheme="minorHAnsi" w:hAnsi="Arial" w:cs="Arial"/>
        <w:noProof/>
        <w:sz w:val="14"/>
        <w:szCs w:val="14"/>
      </w:rPr>
      <w:t>MSA B13</w:t>
    </w:r>
    <w:r>
      <w:rPr>
        <w:rFonts w:ascii="Arial" w:eastAsiaTheme="minorHAnsi" w:hAnsi="Arial" w:cs="Arial"/>
        <w:noProof/>
        <w:sz w:val="14"/>
        <w:szCs w:val="14"/>
      </w:rPr>
      <w:t xml:space="preserve"> </w:t>
    </w:r>
    <w:r w:rsidRPr="00202B2F">
      <w:rPr>
        <w:rFonts w:ascii="Arial" w:eastAsiaTheme="minorHAnsi" w:hAnsi="Arial" w:cs="Arial"/>
        <w:noProof/>
        <w:sz w:val="14"/>
        <w:szCs w:val="14"/>
      </w:rPr>
      <w:t>Contribute to vessel operations</w:t>
    </w:r>
    <w:r w:rsidR="004323FE">
      <w:rPr>
        <w:sz w:val="18"/>
        <w:szCs w:val="18"/>
      </w:rPr>
      <w:tab/>
    </w:r>
    <w:r w:rsidR="004323FE">
      <w:rPr>
        <w:sz w:val="18"/>
        <w:szCs w:val="18"/>
      </w:rPr>
      <w:tab/>
    </w:r>
    <w:r w:rsidR="004323FE">
      <w:rPr>
        <w:sz w:val="18"/>
        <w:szCs w:val="18"/>
      </w:rPr>
      <w:tab/>
    </w:r>
    <w:r w:rsidR="001738EF"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1738EF" w:rsidRPr="008C0064">
      <w:rPr>
        <w:rFonts w:ascii="Arial" w:hAnsi="Arial" w:cs="Arial"/>
        <w:sz w:val="14"/>
        <w:szCs w:val="14"/>
      </w:rPr>
      <w:fldChar w:fldCharType="separate"/>
    </w:r>
    <w:r w:rsidR="009B1726">
      <w:rPr>
        <w:rFonts w:ascii="Arial" w:hAnsi="Arial" w:cs="Arial"/>
        <w:noProof/>
        <w:sz w:val="14"/>
        <w:szCs w:val="14"/>
      </w:rPr>
      <w:t>1</w:t>
    </w:r>
    <w:r w:rsidR="001738EF"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1738EF" w:rsidP="002063F2">
    <w:pPr>
      <w:tabs>
        <w:tab w:val="left" w:pos="7140"/>
      </w:tabs>
    </w:pPr>
    <w:r w:rsidRPr="001738EF">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587646">
      <w:rPr>
        <w:rFonts w:ascii="Arial" w:eastAsiaTheme="minorHAnsi" w:hAnsi="Arial" w:cs="Arial"/>
        <w:b/>
        <w:noProof/>
        <w:sz w:val="32"/>
        <w:szCs w:val="32"/>
      </w:rPr>
      <w:t xml:space="preserve">MSA </w:t>
    </w:r>
    <w:r w:rsidR="006B6E2D">
      <w:rPr>
        <w:rFonts w:ascii="Arial" w:eastAsiaTheme="minorHAnsi" w:hAnsi="Arial" w:cs="Arial"/>
        <w:b/>
        <w:noProof/>
        <w:sz w:val="32"/>
        <w:szCs w:val="32"/>
      </w:rPr>
      <w:t>B13</w:t>
    </w:r>
    <w:r w:rsidR="002063F2" w:rsidRPr="003C6D88">
      <w:rPr>
        <w:rFonts w:eastAsiaTheme="minorHAnsi" w:cs="Courier New"/>
        <w:noProof/>
        <w:sz w:val="32"/>
        <w:szCs w:val="32"/>
      </w:rPr>
      <w:br/>
    </w:r>
    <w:r w:rsidR="007259DF">
      <w:rPr>
        <w:rFonts w:ascii="Arial" w:eastAsiaTheme="minorHAnsi" w:hAnsi="Arial" w:cs="Arial"/>
        <w:noProof/>
        <w:sz w:val="32"/>
        <w:szCs w:val="32"/>
      </w:rPr>
      <w:t>Contribute to vessel operations</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587646" w:rsidP="009A1F82">
          <w:pPr>
            <w:pStyle w:val="Header"/>
            <w:rPr>
              <w:rFonts w:ascii="Arial" w:hAnsi="Arial" w:cs="Arial"/>
              <w:b/>
              <w:sz w:val="32"/>
              <w:szCs w:val="32"/>
            </w:rPr>
          </w:pPr>
          <w:r>
            <w:rPr>
              <w:rFonts w:ascii="Arial" w:hAnsi="Arial" w:cs="Arial"/>
              <w:b/>
              <w:sz w:val="32"/>
              <w:szCs w:val="32"/>
            </w:rPr>
            <w:t xml:space="preserve">MSA </w:t>
          </w:r>
          <w:r w:rsidR="006B6E2D">
            <w:rPr>
              <w:rFonts w:ascii="Arial" w:hAnsi="Arial" w:cs="Arial"/>
              <w:b/>
              <w:sz w:val="32"/>
              <w:szCs w:val="32"/>
            </w:rPr>
            <w:t>B13</w:t>
          </w:r>
        </w:p>
        <w:p w:rsidR="009A1F82" w:rsidRPr="00DF70EE" w:rsidRDefault="007259DF" w:rsidP="009A1F82">
          <w:pPr>
            <w:pStyle w:val="Header"/>
            <w:rPr>
              <w:rFonts w:ascii="Arial" w:hAnsi="Arial" w:cs="Arial"/>
            </w:rPr>
          </w:pPr>
          <w:r>
            <w:rPr>
              <w:rFonts w:ascii="Arial" w:hAnsi="Arial" w:cs="Arial"/>
              <w:sz w:val="32"/>
              <w:szCs w:val="32"/>
            </w:rPr>
            <w:t>Contribute to vessel operations</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1738EF"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CB6CE9"/>
    <w:multiLevelType w:val="multilevel"/>
    <w:tmpl w:val="15EECB2E"/>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9806F91"/>
    <w:multiLevelType w:val="multilevel"/>
    <w:tmpl w:val="919CA7FE"/>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FB9197E"/>
    <w:multiLevelType w:val="multilevel"/>
    <w:tmpl w:val="2EFE4924"/>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10"/>
  </w:num>
  <w:num w:numId="3">
    <w:abstractNumId w:val="2"/>
  </w:num>
  <w:num w:numId="4">
    <w:abstractNumId w:val="1"/>
  </w:num>
  <w:num w:numId="5">
    <w:abstractNumId w:val="13"/>
  </w:num>
  <w:num w:numId="6">
    <w:abstractNumId w:val="15"/>
  </w:num>
  <w:num w:numId="7">
    <w:abstractNumId w:val="6"/>
  </w:num>
  <w:num w:numId="8">
    <w:abstractNumId w:val="17"/>
  </w:num>
  <w:num w:numId="9">
    <w:abstractNumId w:val="16"/>
  </w:num>
  <w:num w:numId="10">
    <w:abstractNumId w:val="14"/>
  </w:num>
  <w:num w:numId="11">
    <w:abstractNumId w:val="12"/>
  </w:num>
  <w:num w:numId="12">
    <w:abstractNumId w:val="9"/>
  </w:num>
  <w:num w:numId="13">
    <w:abstractNumId w:val="3"/>
  </w:num>
  <w:num w:numId="14">
    <w:abstractNumId w:val="11"/>
  </w:num>
  <w:num w:numId="15">
    <w:abstractNumId w:val="0"/>
  </w:num>
  <w:num w:numId="16">
    <w:abstractNumId w:val="8"/>
  </w:num>
  <w:num w:numId="17">
    <w:abstractNumId w:val="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433"/>
    <w:rsid w:val="00004E0E"/>
    <w:rsid w:val="00006091"/>
    <w:rsid w:val="000063C8"/>
    <w:rsid w:val="000076D9"/>
    <w:rsid w:val="00013E41"/>
    <w:rsid w:val="0001420A"/>
    <w:rsid w:val="00015A73"/>
    <w:rsid w:val="00016B9A"/>
    <w:rsid w:val="0002195A"/>
    <w:rsid w:val="00023BD3"/>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45BF"/>
    <w:rsid w:val="000A5804"/>
    <w:rsid w:val="000B1EFD"/>
    <w:rsid w:val="000B431E"/>
    <w:rsid w:val="000B6D40"/>
    <w:rsid w:val="000D38DB"/>
    <w:rsid w:val="000E0A1D"/>
    <w:rsid w:val="000E1A7E"/>
    <w:rsid w:val="0010370F"/>
    <w:rsid w:val="0010479B"/>
    <w:rsid w:val="001103C6"/>
    <w:rsid w:val="00115544"/>
    <w:rsid w:val="0013639C"/>
    <w:rsid w:val="00144D83"/>
    <w:rsid w:val="0016238F"/>
    <w:rsid w:val="001634E2"/>
    <w:rsid w:val="0017373C"/>
    <w:rsid w:val="001738EF"/>
    <w:rsid w:val="00173AEB"/>
    <w:rsid w:val="00176E82"/>
    <w:rsid w:val="00181052"/>
    <w:rsid w:val="00185673"/>
    <w:rsid w:val="0019417F"/>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2B2F"/>
    <w:rsid w:val="002063F2"/>
    <w:rsid w:val="00210CE3"/>
    <w:rsid w:val="00212B2D"/>
    <w:rsid w:val="002143B8"/>
    <w:rsid w:val="0021511C"/>
    <w:rsid w:val="00222188"/>
    <w:rsid w:val="002229B0"/>
    <w:rsid w:val="00224BC7"/>
    <w:rsid w:val="0024080B"/>
    <w:rsid w:val="002427F4"/>
    <w:rsid w:val="0025664D"/>
    <w:rsid w:val="00262F5D"/>
    <w:rsid w:val="00270B1B"/>
    <w:rsid w:val="00272BF7"/>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0459"/>
    <w:rsid w:val="003319D1"/>
    <w:rsid w:val="00345B06"/>
    <w:rsid w:val="003521D1"/>
    <w:rsid w:val="0036118B"/>
    <w:rsid w:val="003722CD"/>
    <w:rsid w:val="00377DED"/>
    <w:rsid w:val="00380447"/>
    <w:rsid w:val="00387C8A"/>
    <w:rsid w:val="003B42B8"/>
    <w:rsid w:val="003B7932"/>
    <w:rsid w:val="003C4768"/>
    <w:rsid w:val="003C6D88"/>
    <w:rsid w:val="003D3486"/>
    <w:rsid w:val="003D524D"/>
    <w:rsid w:val="003D7EF3"/>
    <w:rsid w:val="003E2694"/>
    <w:rsid w:val="003F7686"/>
    <w:rsid w:val="00401539"/>
    <w:rsid w:val="00401F6B"/>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71C9"/>
    <w:rsid w:val="00497C87"/>
    <w:rsid w:val="004A57E2"/>
    <w:rsid w:val="004B12F4"/>
    <w:rsid w:val="004B1702"/>
    <w:rsid w:val="004C05AB"/>
    <w:rsid w:val="004D08DE"/>
    <w:rsid w:val="004D0EEB"/>
    <w:rsid w:val="004D1F3B"/>
    <w:rsid w:val="004D6960"/>
    <w:rsid w:val="004E21DC"/>
    <w:rsid w:val="004F60C8"/>
    <w:rsid w:val="0050084C"/>
    <w:rsid w:val="005027E6"/>
    <w:rsid w:val="00515426"/>
    <w:rsid w:val="00521BFC"/>
    <w:rsid w:val="0052780A"/>
    <w:rsid w:val="00540023"/>
    <w:rsid w:val="00540315"/>
    <w:rsid w:val="00540609"/>
    <w:rsid w:val="00545BAC"/>
    <w:rsid w:val="00550971"/>
    <w:rsid w:val="00555D76"/>
    <w:rsid w:val="00556342"/>
    <w:rsid w:val="00563BF7"/>
    <w:rsid w:val="005833E2"/>
    <w:rsid w:val="00587646"/>
    <w:rsid w:val="005A4236"/>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77D2C"/>
    <w:rsid w:val="00683429"/>
    <w:rsid w:val="00685DDB"/>
    <w:rsid w:val="00687545"/>
    <w:rsid w:val="00690067"/>
    <w:rsid w:val="00692FE1"/>
    <w:rsid w:val="00694A3C"/>
    <w:rsid w:val="006A129C"/>
    <w:rsid w:val="006A61E1"/>
    <w:rsid w:val="006B2227"/>
    <w:rsid w:val="006B4495"/>
    <w:rsid w:val="006B6E2D"/>
    <w:rsid w:val="006C2574"/>
    <w:rsid w:val="006D03D8"/>
    <w:rsid w:val="006E0E81"/>
    <w:rsid w:val="006E35D0"/>
    <w:rsid w:val="006F0706"/>
    <w:rsid w:val="006F3CA8"/>
    <w:rsid w:val="007017D1"/>
    <w:rsid w:val="007156AF"/>
    <w:rsid w:val="00715D93"/>
    <w:rsid w:val="00724C66"/>
    <w:rsid w:val="00724E04"/>
    <w:rsid w:val="007259DF"/>
    <w:rsid w:val="00726306"/>
    <w:rsid w:val="00742745"/>
    <w:rsid w:val="00753242"/>
    <w:rsid w:val="007613C5"/>
    <w:rsid w:val="00762896"/>
    <w:rsid w:val="00762E29"/>
    <w:rsid w:val="00780EAB"/>
    <w:rsid w:val="00785D30"/>
    <w:rsid w:val="00791C53"/>
    <w:rsid w:val="007A13ED"/>
    <w:rsid w:val="007B0672"/>
    <w:rsid w:val="007C232F"/>
    <w:rsid w:val="007C7DC5"/>
    <w:rsid w:val="007D3CB0"/>
    <w:rsid w:val="007D52B7"/>
    <w:rsid w:val="007E7D16"/>
    <w:rsid w:val="0082306F"/>
    <w:rsid w:val="00823628"/>
    <w:rsid w:val="0084302D"/>
    <w:rsid w:val="008464A9"/>
    <w:rsid w:val="00847EA7"/>
    <w:rsid w:val="008537C7"/>
    <w:rsid w:val="00860755"/>
    <w:rsid w:val="008616C3"/>
    <w:rsid w:val="0086259F"/>
    <w:rsid w:val="00862792"/>
    <w:rsid w:val="008642AB"/>
    <w:rsid w:val="00866606"/>
    <w:rsid w:val="008829A1"/>
    <w:rsid w:val="00886A13"/>
    <w:rsid w:val="0089143B"/>
    <w:rsid w:val="00892883"/>
    <w:rsid w:val="008961DA"/>
    <w:rsid w:val="008A2610"/>
    <w:rsid w:val="008A4462"/>
    <w:rsid w:val="008A4E8E"/>
    <w:rsid w:val="008B04B4"/>
    <w:rsid w:val="008B21FF"/>
    <w:rsid w:val="008B3E91"/>
    <w:rsid w:val="008B472C"/>
    <w:rsid w:val="008C0064"/>
    <w:rsid w:val="008E7A54"/>
    <w:rsid w:val="00901FEF"/>
    <w:rsid w:val="0090468B"/>
    <w:rsid w:val="0090729C"/>
    <w:rsid w:val="0091573A"/>
    <w:rsid w:val="00916916"/>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1726"/>
    <w:rsid w:val="009B3DAA"/>
    <w:rsid w:val="009C3304"/>
    <w:rsid w:val="009C3949"/>
    <w:rsid w:val="009C5850"/>
    <w:rsid w:val="009D063D"/>
    <w:rsid w:val="009D20A6"/>
    <w:rsid w:val="009D3E57"/>
    <w:rsid w:val="009D42E0"/>
    <w:rsid w:val="009E742F"/>
    <w:rsid w:val="009F1381"/>
    <w:rsid w:val="009F5881"/>
    <w:rsid w:val="009F7CB5"/>
    <w:rsid w:val="00A10E28"/>
    <w:rsid w:val="00A125F1"/>
    <w:rsid w:val="00A13C08"/>
    <w:rsid w:val="00A33F7A"/>
    <w:rsid w:val="00A560A0"/>
    <w:rsid w:val="00A664B3"/>
    <w:rsid w:val="00A73B2E"/>
    <w:rsid w:val="00A910A6"/>
    <w:rsid w:val="00A92AB5"/>
    <w:rsid w:val="00A9731F"/>
    <w:rsid w:val="00AA411C"/>
    <w:rsid w:val="00AA7AD0"/>
    <w:rsid w:val="00AB493E"/>
    <w:rsid w:val="00AB7B1B"/>
    <w:rsid w:val="00AC5EE5"/>
    <w:rsid w:val="00AE57EF"/>
    <w:rsid w:val="00B15A0B"/>
    <w:rsid w:val="00B165CE"/>
    <w:rsid w:val="00B4020E"/>
    <w:rsid w:val="00B51DAF"/>
    <w:rsid w:val="00B5272E"/>
    <w:rsid w:val="00B5446B"/>
    <w:rsid w:val="00B652FB"/>
    <w:rsid w:val="00B73F65"/>
    <w:rsid w:val="00B82F94"/>
    <w:rsid w:val="00B9514C"/>
    <w:rsid w:val="00BA174C"/>
    <w:rsid w:val="00BA2445"/>
    <w:rsid w:val="00BC5E81"/>
    <w:rsid w:val="00BE436E"/>
    <w:rsid w:val="00BF663F"/>
    <w:rsid w:val="00C077DD"/>
    <w:rsid w:val="00C12BFA"/>
    <w:rsid w:val="00C20B78"/>
    <w:rsid w:val="00C241A2"/>
    <w:rsid w:val="00C2528F"/>
    <w:rsid w:val="00C327DC"/>
    <w:rsid w:val="00C372A8"/>
    <w:rsid w:val="00C617B3"/>
    <w:rsid w:val="00C717B8"/>
    <w:rsid w:val="00C72419"/>
    <w:rsid w:val="00C73990"/>
    <w:rsid w:val="00C758AA"/>
    <w:rsid w:val="00C77C64"/>
    <w:rsid w:val="00C80E62"/>
    <w:rsid w:val="00C91780"/>
    <w:rsid w:val="00C92654"/>
    <w:rsid w:val="00C94311"/>
    <w:rsid w:val="00CA0B7E"/>
    <w:rsid w:val="00CA0BEC"/>
    <w:rsid w:val="00CA3700"/>
    <w:rsid w:val="00CC2785"/>
    <w:rsid w:val="00D03896"/>
    <w:rsid w:val="00D13FFB"/>
    <w:rsid w:val="00D15081"/>
    <w:rsid w:val="00D27CC8"/>
    <w:rsid w:val="00D33BD9"/>
    <w:rsid w:val="00D50956"/>
    <w:rsid w:val="00D646F9"/>
    <w:rsid w:val="00D762B7"/>
    <w:rsid w:val="00D9240E"/>
    <w:rsid w:val="00D945AE"/>
    <w:rsid w:val="00DA0020"/>
    <w:rsid w:val="00DB1A9E"/>
    <w:rsid w:val="00DB2AA3"/>
    <w:rsid w:val="00DB39C5"/>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569AA"/>
    <w:rsid w:val="00E664BC"/>
    <w:rsid w:val="00E66529"/>
    <w:rsid w:val="00E80A62"/>
    <w:rsid w:val="00E835E9"/>
    <w:rsid w:val="00EB50D3"/>
    <w:rsid w:val="00EC19B3"/>
    <w:rsid w:val="00EC1AA4"/>
    <w:rsid w:val="00EC71A9"/>
    <w:rsid w:val="00ED4338"/>
    <w:rsid w:val="00EE5D4B"/>
    <w:rsid w:val="00F02CCD"/>
    <w:rsid w:val="00F129CF"/>
    <w:rsid w:val="00F152BB"/>
    <w:rsid w:val="00F2327D"/>
    <w:rsid w:val="00F25CCF"/>
    <w:rsid w:val="00F2717E"/>
    <w:rsid w:val="00F307E2"/>
    <w:rsid w:val="00F31E77"/>
    <w:rsid w:val="00F353EE"/>
    <w:rsid w:val="00F404FC"/>
    <w:rsid w:val="00F4296C"/>
    <w:rsid w:val="00F45010"/>
    <w:rsid w:val="00F45348"/>
    <w:rsid w:val="00F656FD"/>
    <w:rsid w:val="00F72712"/>
    <w:rsid w:val="00F75610"/>
    <w:rsid w:val="00F75EE6"/>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7"/>
        <o:r id="V:Rule13" type="connector" idref="#_x0000_s1043"/>
        <o:r id="V:Rule14" type="connector" idref="#_x0000_s1044"/>
        <o:r id="V:Rule15" type="connector" idref="#_x0000_s1058"/>
        <o:r id="V:Rule16" type="connector" idref="#_x0000_s1045"/>
        <o:r id="V:Rule17" type="connector" idref="#_x0000_s1042"/>
        <o:r id="V:Rule18" type="connector" idref="#_x0000_s1046"/>
        <o:r id="V:Rule19" type="connector" idref="#_x0000_s1040"/>
        <o:r id="V:Rule20" type="connector" idref="#_x0000_s1039"/>
        <o:r id="V:Rule21" type="connector" idref="#_x0000_s1048"/>
        <o:r id="V:Rule2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0A4A99"/>
    <w:rsid w:val="0016019E"/>
    <w:rsid w:val="00261158"/>
    <w:rsid w:val="00282F70"/>
    <w:rsid w:val="002C46EF"/>
    <w:rsid w:val="00401C66"/>
    <w:rsid w:val="00462417"/>
    <w:rsid w:val="004E3B4B"/>
    <w:rsid w:val="0053637E"/>
    <w:rsid w:val="00567979"/>
    <w:rsid w:val="005B7907"/>
    <w:rsid w:val="005E48C2"/>
    <w:rsid w:val="00691D82"/>
    <w:rsid w:val="006D37C5"/>
    <w:rsid w:val="00752FD9"/>
    <w:rsid w:val="008777D8"/>
    <w:rsid w:val="00886701"/>
    <w:rsid w:val="008960EC"/>
    <w:rsid w:val="008B5E4D"/>
    <w:rsid w:val="009D0A55"/>
    <w:rsid w:val="00B37502"/>
    <w:rsid w:val="00C658D2"/>
    <w:rsid w:val="00C844BE"/>
    <w:rsid w:val="00CB3D32"/>
    <w:rsid w:val="00CE1085"/>
    <w:rsid w:val="00DF0F97"/>
    <w:rsid w:val="00E62584"/>
    <w:rsid w:val="00EC63D3"/>
    <w:rsid w:val="00F036A0"/>
    <w:rsid w:val="00FA6A1C"/>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A4C3CB97-E2CB-42AF-9E60-1171BE76F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E13AC3C-D849-4A32-993E-254B20027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7</cp:revision>
  <dcterms:created xsi:type="dcterms:W3CDTF">2011-12-14T15:20:00Z</dcterms:created>
  <dcterms:modified xsi:type="dcterms:W3CDTF">2012-02-23T13:58:00Z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