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2E0AC1">
        <w:tc>
          <w:tcPr>
            <w:tcW w:w="2518" w:type="dxa"/>
          </w:tcPr>
          <w:p w:rsidR="002E0AC1" w:rsidRDefault="002E0AC1" w:rsidP="009524C5">
            <w:pPr>
              <w:pStyle w:val="NOSSideHeading"/>
              <w:ind w:right="-108"/>
            </w:pPr>
            <w:bookmarkStart w:id="0" w:name="Overview"/>
            <w:r>
              <w:t>Overview</w:t>
            </w:r>
            <w:r>
              <w:br/>
            </w:r>
          </w:p>
        </w:tc>
        <w:tc>
          <w:tcPr>
            <w:tcW w:w="7967" w:type="dxa"/>
          </w:tcPr>
          <w:p w:rsidR="002E0AC1" w:rsidRDefault="002E0AC1" w:rsidP="008D3C27">
            <w:pPr>
              <w:pStyle w:val="NOSNumberList"/>
              <w:numPr>
                <w:ilvl w:val="0"/>
                <w:numId w:val="0"/>
              </w:numPr>
              <w:spacing w:line="276" w:lineRule="exact"/>
            </w:pPr>
            <w:bookmarkStart w:id="1" w:name="StartOverview"/>
            <w:bookmarkEnd w:id="1"/>
            <w:r>
              <w:t>This standard covers the competence required to plan and direct vessel engineering operations including the specialist operations for which the vessel is purposely designed. It deals with organising and managing the crew and also covers monitoring and controlling compliance with legislative requirements and measures to ensure safety of life at sea and protection of the marine environment.</w:t>
            </w:r>
          </w:p>
          <w:p w:rsidR="002E0AC1" w:rsidRDefault="002E0AC1" w:rsidP="008D3C27">
            <w:pPr>
              <w:pStyle w:val="NOSNumberList"/>
              <w:numPr>
                <w:ilvl w:val="0"/>
                <w:numId w:val="0"/>
              </w:numPr>
              <w:spacing w:line="276" w:lineRule="exact"/>
            </w:pPr>
          </w:p>
          <w:p w:rsidR="002E0AC1" w:rsidRPr="003A293A" w:rsidRDefault="002E0AC1" w:rsidP="008D3C27">
            <w:pPr>
              <w:pStyle w:val="NOSNumberList"/>
              <w:numPr>
                <w:ilvl w:val="0"/>
                <w:numId w:val="0"/>
              </w:numPr>
              <w:spacing w:line="276" w:lineRule="exact"/>
              <w:rPr>
                <w:b/>
                <w:bCs/>
              </w:rPr>
            </w:pPr>
            <w:r>
              <w:rPr>
                <w:b/>
                <w:bCs/>
              </w:rPr>
              <w:t>Target Group</w:t>
            </w:r>
          </w:p>
          <w:p w:rsidR="002E0AC1" w:rsidRDefault="002E0AC1" w:rsidP="00BF12E9">
            <w:pPr>
              <w:pStyle w:val="NOSNumberList"/>
              <w:numPr>
                <w:ilvl w:val="0"/>
                <w:numId w:val="0"/>
              </w:numPr>
              <w:spacing w:line="276" w:lineRule="exact"/>
            </w:pPr>
            <w:r>
              <w:t>This standard applies to individuals at the management level with responsibility for planning engineering operations on vessels of any type and of any registered power.</w:t>
            </w:r>
          </w:p>
          <w:p w:rsidR="002E0AC1" w:rsidRDefault="002E0AC1" w:rsidP="008D3C27">
            <w:pPr>
              <w:pStyle w:val="NOSNumberList"/>
              <w:numPr>
                <w:ilvl w:val="0"/>
                <w:numId w:val="0"/>
              </w:numPr>
              <w:spacing w:line="276" w:lineRule="exact"/>
            </w:pPr>
          </w:p>
          <w:p w:rsidR="002E0AC1" w:rsidRDefault="002E0AC1" w:rsidP="003A293A">
            <w:pPr>
              <w:pStyle w:val="NOSNumberList"/>
              <w:numPr>
                <w:ilvl w:val="0"/>
                <w:numId w:val="0"/>
              </w:numPr>
              <w:spacing w:line="276" w:lineRule="exact"/>
              <w:ind w:left="567"/>
            </w:pPr>
          </w:p>
        </w:tc>
      </w:tr>
      <w:bookmarkEnd w:id="0"/>
    </w:tbl>
    <w:p w:rsidR="002E0AC1" w:rsidRDefault="002E0AC1">
      <w:r>
        <w:br w:type="page"/>
      </w:r>
      <w:bookmarkStart w:id="2" w:name="EndOverview"/>
      <w:bookmarkEnd w:id="2"/>
    </w:p>
    <w:tbl>
      <w:tblPr>
        <w:tblW w:w="0" w:type="auto"/>
        <w:tblLook w:val="00A0"/>
      </w:tblPr>
      <w:tblGrid>
        <w:gridCol w:w="2518"/>
        <w:gridCol w:w="7902"/>
      </w:tblGrid>
      <w:tr w:rsidR="002E0AC1" w:rsidRPr="00CF4D98">
        <w:tc>
          <w:tcPr>
            <w:tcW w:w="2518" w:type="dxa"/>
          </w:tcPr>
          <w:p w:rsidR="002E0AC1" w:rsidRDefault="002E0AC1"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2E0AC1" w:rsidRDefault="002E0AC1" w:rsidP="00016B9A">
            <w:pPr>
              <w:pStyle w:val="NOSSideSubHeading"/>
              <w:spacing w:line="240" w:lineRule="auto"/>
            </w:pPr>
            <w:r w:rsidRPr="00CF4D98">
              <w:t>You must be able to:</w:t>
            </w:r>
          </w:p>
          <w:p w:rsidR="002E0AC1" w:rsidRPr="00CF4D98" w:rsidRDefault="002E0AC1" w:rsidP="00016B9A">
            <w:pPr>
              <w:pStyle w:val="NOSSideSubHeading"/>
              <w:spacing w:line="240" w:lineRule="auto"/>
            </w:pPr>
          </w:p>
        </w:tc>
        <w:tc>
          <w:tcPr>
            <w:tcW w:w="7902" w:type="dxa"/>
          </w:tcPr>
          <w:p w:rsidR="002E0AC1" w:rsidRDefault="002E0AC1" w:rsidP="006D6779">
            <w:pPr>
              <w:pStyle w:val="NOSBodyHeading"/>
              <w:spacing w:line="276" w:lineRule="auto"/>
              <w:rPr>
                <w:b w:val="0"/>
                <w:bCs w:val="0"/>
              </w:rPr>
            </w:pPr>
            <w:bookmarkStart w:id="4" w:name="StartPerformance"/>
            <w:bookmarkEnd w:id="4"/>
          </w:p>
          <w:p w:rsidR="002E0AC1" w:rsidRDefault="002E0AC1" w:rsidP="006D6779">
            <w:pPr>
              <w:pStyle w:val="NOSBodyHeading"/>
              <w:spacing w:line="276" w:lineRule="auto"/>
              <w:rPr>
                <w:b w:val="0"/>
                <w:bCs w:val="0"/>
              </w:rPr>
            </w:pPr>
          </w:p>
          <w:p w:rsidR="002E0AC1" w:rsidRDefault="002E0AC1" w:rsidP="006D6779">
            <w:pPr>
              <w:pStyle w:val="NOSBodyHeading"/>
              <w:spacing w:line="276" w:lineRule="auto"/>
              <w:rPr>
                <w:b w:val="0"/>
                <w:bCs w:val="0"/>
              </w:rPr>
            </w:pPr>
          </w:p>
          <w:p w:rsidR="00F159F4" w:rsidRDefault="002E0AC1" w:rsidP="00F159F4">
            <w:pPr>
              <w:pStyle w:val="NOSBodyHeading"/>
              <w:numPr>
                <w:ilvl w:val="0"/>
                <w:numId w:val="17"/>
              </w:numPr>
              <w:spacing w:line="276" w:lineRule="auto"/>
              <w:rPr>
                <w:b w:val="0"/>
              </w:rPr>
            </w:pPr>
            <w:r>
              <w:rPr>
                <w:b w:val="0"/>
                <w:bCs w:val="0"/>
              </w:rPr>
              <w:t>prepare a plan for operations in accordance with</w:t>
            </w:r>
            <w:r w:rsidR="00F159F4">
              <w:rPr>
                <w:b w:val="0"/>
              </w:rPr>
              <w:t>:</w:t>
            </w:r>
          </w:p>
          <w:p w:rsidR="00F159F4" w:rsidRDefault="00F159F4" w:rsidP="00F159F4">
            <w:pPr>
              <w:pStyle w:val="NOSBodyHeading"/>
              <w:spacing w:line="276" w:lineRule="auto"/>
              <w:rPr>
                <w:b w:val="0"/>
              </w:rPr>
            </w:pPr>
            <w:r>
              <w:rPr>
                <w:b w:val="0"/>
              </w:rPr>
              <w:t xml:space="preserve">         P1.1 instructions for the vessel</w:t>
            </w:r>
          </w:p>
          <w:p w:rsidR="00F159F4" w:rsidRDefault="00F159F4" w:rsidP="00F159F4">
            <w:pPr>
              <w:pStyle w:val="NOSBodyHeading"/>
              <w:spacing w:line="276" w:lineRule="auto"/>
              <w:rPr>
                <w:b w:val="0"/>
              </w:rPr>
            </w:pPr>
            <w:r>
              <w:rPr>
                <w:b w:val="0"/>
              </w:rPr>
              <w:t xml:space="preserve">         P1.2 established procedures</w:t>
            </w:r>
          </w:p>
          <w:p w:rsidR="00F159F4" w:rsidRDefault="00F159F4" w:rsidP="00F159F4">
            <w:pPr>
              <w:pStyle w:val="NOSBodyHeading"/>
              <w:spacing w:line="276" w:lineRule="auto"/>
              <w:rPr>
                <w:b w:val="0"/>
              </w:rPr>
            </w:pPr>
            <w:r>
              <w:rPr>
                <w:b w:val="0"/>
              </w:rPr>
              <w:t xml:space="preserve">         P1.3 legislative requirements</w:t>
            </w:r>
          </w:p>
          <w:p w:rsidR="00F159F4" w:rsidRDefault="00F159F4" w:rsidP="00F159F4">
            <w:pPr>
              <w:pStyle w:val="NOSBodyHeading"/>
              <w:spacing w:line="276" w:lineRule="auto"/>
              <w:rPr>
                <w:b w:val="0"/>
              </w:rPr>
            </w:pPr>
            <w:r>
              <w:rPr>
                <w:b w:val="0"/>
              </w:rPr>
              <w:t xml:space="preserve">         P1.4 good safety practice</w:t>
            </w:r>
          </w:p>
          <w:p w:rsidR="002E0AC1" w:rsidRPr="00F159F4" w:rsidRDefault="00F159F4" w:rsidP="00F159F4">
            <w:pPr>
              <w:pStyle w:val="NOSBodyHeading"/>
              <w:spacing w:line="276" w:lineRule="auto"/>
              <w:rPr>
                <w:b w:val="0"/>
              </w:rPr>
            </w:pPr>
            <w:r>
              <w:rPr>
                <w:b w:val="0"/>
                <w:bCs w:val="0"/>
              </w:rPr>
              <w:t xml:space="preserve">         P1.5 </w:t>
            </w:r>
            <w:r w:rsidR="002E0AC1">
              <w:rPr>
                <w:b w:val="0"/>
                <w:bCs w:val="0"/>
              </w:rPr>
              <w:t>the most appropriate strategies, work</w:t>
            </w:r>
            <w:r>
              <w:rPr>
                <w:b w:val="0"/>
                <w:bCs w:val="0"/>
              </w:rPr>
              <w:t xml:space="preserve"> methods and activities for the </w:t>
            </w:r>
            <w:r w:rsidR="002E0AC1">
              <w:rPr>
                <w:b w:val="0"/>
                <w:bCs w:val="0"/>
              </w:rPr>
              <w:t>vessel operation</w:t>
            </w:r>
          </w:p>
          <w:p w:rsidR="002E0AC1" w:rsidRPr="001B0A7B" w:rsidRDefault="002E0AC1" w:rsidP="006D6779">
            <w:pPr>
              <w:pStyle w:val="NOSBodyHeading"/>
              <w:numPr>
                <w:ilvl w:val="0"/>
                <w:numId w:val="17"/>
              </w:numPr>
              <w:spacing w:line="276" w:lineRule="auto"/>
              <w:rPr>
                <w:b w:val="0"/>
                <w:bCs w:val="0"/>
              </w:rPr>
            </w:pPr>
            <w:r>
              <w:rPr>
                <w:b w:val="0"/>
                <w:bCs w:val="0"/>
              </w:rPr>
              <w:t>define the work sequence in accordance with the plan</w:t>
            </w:r>
          </w:p>
          <w:p w:rsidR="002E0AC1" w:rsidRPr="001B0A7B" w:rsidRDefault="002E0AC1" w:rsidP="006D6779">
            <w:pPr>
              <w:pStyle w:val="NOSBodyHeading"/>
              <w:numPr>
                <w:ilvl w:val="0"/>
                <w:numId w:val="17"/>
              </w:numPr>
              <w:spacing w:line="276" w:lineRule="auto"/>
              <w:rPr>
                <w:b w:val="0"/>
                <w:bCs w:val="0"/>
              </w:rPr>
            </w:pPr>
            <w:r>
              <w:rPr>
                <w:b w:val="0"/>
                <w:bCs w:val="0"/>
              </w:rPr>
              <w:t>record plans for reference to comply with statutory and organisational</w:t>
            </w:r>
            <w:r w:rsidR="00F159F4">
              <w:rPr>
                <w:b w:val="0"/>
                <w:bCs w:val="0"/>
              </w:rPr>
              <w:t xml:space="preserve"> requirements</w:t>
            </w:r>
          </w:p>
          <w:p w:rsidR="002E0AC1" w:rsidRPr="001B0A7B" w:rsidRDefault="002E0AC1" w:rsidP="006D6779">
            <w:pPr>
              <w:pStyle w:val="NOSBodyHeading"/>
              <w:numPr>
                <w:ilvl w:val="0"/>
                <w:numId w:val="17"/>
              </w:numPr>
              <w:spacing w:line="276" w:lineRule="auto"/>
              <w:rPr>
                <w:b w:val="0"/>
                <w:bCs w:val="0"/>
              </w:rPr>
            </w:pPr>
            <w:r>
              <w:rPr>
                <w:b w:val="0"/>
                <w:bCs w:val="0"/>
              </w:rPr>
              <w:t>fully brief the team leaders on the plans and allocate duties</w:t>
            </w:r>
          </w:p>
          <w:p w:rsidR="002E0AC1" w:rsidRPr="001B0A7B" w:rsidRDefault="002E0AC1" w:rsidP="006D6779">
            <w:pPr>
              <w:pStyle w:val="NOSBodyHeading"/>
              <w:numPr>
                <w:ilvl w:val="0"/>
                <w:numId w:val="17"/>
              </w:numPr>
              <w:spacing w:line="276" w:lineRule="auto"/>
              <w:rPr>
                <w:b w:val="0"/>
                <w:bCs w:val="0"/>
              </w:rPr>
            </w:pPr>
            <w:r>
              <w:rPr>
                <w:b w:val="0"/>
                <w:bCs w:val="0"/>
              </w:rPr>
              <w:t>assess training needs based on current performance, draw up plan and implement planned training</w:t>
            </w:r>
          </w:p>
          <w:p w:rsidR="002E0AC1" w:rsidRPr="001B0A7B" w:rsidRDefault="002E0AC1" w:rsidP="006D6779">
            <w:pPr>
              <w:pStyle w:val="NOSBodyHeading"/>
              <w:numPr>
                <w:ilvl w:val="0"/>
                <w:numId w:val="17"/>
              </w:numPr>
              <w:spacing w:line="276" w:lineRule="auto"/>
              <w:rPr>
                <w:b w:val="0"/>
                <w:bCs w:val="0"/>
              </w:rPr>
            </w:pPr>
            <w:r>
              <w:rPr>
                <w:b w:val="0"/>
                <w:bCs w:val="0"/>
              </w:rPr>
              <w:t>ensure procedures for monitoring operations and maintenance comply with legislative requirements to ensure safety of life at sea and protection of the marine environment</w:t>
            </w:r>
          </w:p>
          <w:p w:rsidR="002E0AC1" w:rsidRPr="001B0A7B" w:rsidRDefault="002E0AC1" w:rsidP="006D6779">
            <w:pPr>
              <w:pStyle w:val="NOSBodyHeading"/>
              <w:numPr>
                <w:ilvl w:val="0"/>
                <w:numId w:val="17"/>
              </w:numPr>
              <w:spacing w:line="276" w:lineRule="auto"/>
              <w:rPr>
                <w:b w:val="0"/>
                <w:bCs w:val="0"/>
              </w:rPr>
            </w:pPr>
            <w:r>
              <w:rPr>
                <w:b w:val="0"/>
                <w:bCs w:val="0"/>
              </w:rPr>
              <w:t>monitor activities and confirm that operations are carried out in accordance with the plan</w:t>
            </w:r>
          </w:p>
          <w:p w:rsidR="002E0AC1" w:rsidRPr="001B0A7B" w:rsidRDefault="002E0AC1" w:rsidP="006D6779">
            <w:pPr>
              <w:pStyle w:val="NOSBodyHeading"/>
              <w:numPr>
                <w:ilvl w:val="0"/>
                <w:numId w:val="17"/>
              </w:numPr>
              <w:spacing w:line="276" w:lineRule="auto"/>
              <w:rPr>
                <w:b w:val="0"/>
                <w:bCs w:val="0"/>
              </w:rPr>
            </w:pPr>
            <w:r>
              <w:rPr>
                <w:b w:val="0"/>
                <w:bCs w:val="0"/>
              </w:rPr>
              <w:t>identify fully and promptly potential non-compliance and initiate appropriate action</w:t>
            </w:r>
          </w:p>
          <w:p w:rsidR="002E0AC1" w:rsidRPr="001B0A7B" w:rsidRDefault="002E0AC1" w:rsidP="006D6779">
            <w:pPr>
              <w:pStyle w:val="NOSBodyHeading"/>
              <w:numPr>
                <w:ilvl w:val="0"/>
                <w:numId w:val="17"/>
              </w:numPr>
              <w:spacing w:line="276" w:lineRule="auto"/>
              <w:rPr>
                <w:b w:val="0"/>
                <w:bCs w:val="0"/>
              </w:rPr>
            </w:pPr>
            <w:r>
              <w:rPr>
                <w:b w:val="0"/>
                <w:bCs w:val="0"/>
              </w:rPr>
              <w:t>report progress on operations in accordance with organisational requirements and negotiate with external agencies to ensure that the operations proceed safely and to schedule</w:t>
            </w:r>
          </w:p>
          <w:p w:rsidR="002E0AC1" w:rsidRPr="001B0A7B" w:rsidRDefault="002E0AC1" w:rsidP="006D6779">
            <w:pPr>
              <w:pStyle w:val="NOSBodyHeading"/>
              <w:numPr>
                <w:ilvl w:val="0"/>
                <w:numId w:val="17"/>
              </w:numPr>
              <w:spacing w:line="276" w:lineRule="auto"/>
              <w:rPr>
                <w:b w:val="0"/>
                <w:bCs w:val="0"/>
              </w:rPr>
            </w:pPr>
            <w:r>
              <w:rPr>
                <w:b w:val="0"/>
                <w:bCs w:val="0"/>
              </w:rPr>
              <w:t>confirm that the vessel is secure on completion of operations</w:t>
            </w:r>
          </w:p>
          <w:p w:rsidR="002E0AC1" w:rsidRPr="001B0A7B" w:rsidRDefault="002E0AC1" w:rsidP="006D6779">
            <w:pPr>
              <w:pStyle w:val="NOSBodyHeading"/>
              <w:numPr>
                <w:ilvl w:val="0"/>
                <w:numId w:val="17"/>
              </w:numPr>
              <w:spacing w:line="276" w:lineRule="auto"/>
              <w:rPr>
                <w:b w:val="0"/>
                <w:bCs w:val="0"/>
              </w:rPr>
            </w:pPr>
            <w:r>
              <w:rPr>
                <w:b w:val="0"/>
                <w:bCs w:val="0"/>
              </w:rPr>
              <w:t>ensure that records of operations are kept in accordance with legislative and organisational requirements</w:t>
            </w:r>
          </w:p>
        </w:tc>
      </w:tr>
      <w:tr w:rsidR="00F159F4" w:rsidRPr="00CF4D98">
        <w:tc>
          <w:tcPr>
            <w:tcW w:w="2518" w:type="dxa"/>
          </w:tcPr>
          <w:p w:rsidR="00F159F4" w:rsidRPr="0036118B" w:rsidRDefault="00F159F4" w:rsidP="0050084C">
            <w:pPr>
              <w:autoSpaceDE w:val="0"/>
              <w:autoSpaceDN w:val="0"/>
              <w:adjustRightInd w:val="0"/>
              <w:spacing w:after="0" w:line="240" w:lineRule="auto"/>
              <w:rPr>
                <w:rFonts w:ascii="Arial" w:hAnsi="Arial" w:cs="Arial"/>
                <w:b/>
                <w:bCs/>
                <w:color w:val="0078C1"/>
                <w:sz w:val="26"/>
                <w:szCs w:val="26"/>
                <w:lang w:eastAsia="en-GB"/>
              </w:rPr>
            </w:pPr>
          </w:p>
        </w:tc>
        <w:tc>
          <w:tcPr>
            <w:tcW w:w="7902" w:type="dxa"/>
          </w:tcPr>
          <w:p w:rsidR="00F159F4" w:rsidRDefault="00F159F4" w:rsidP="006D6779">
            <w:pPr>
              <w:pStyle w:val="NOSBodyHeading"/>
              <w:spacing w:line="276" w:lineRule="auto"/>
              <w:rPr>
                <w:b w:val="0"/>
                <w:bCs w:val="0"/>
              </w:rPr>
            </w:pPr>
          </w:p>
        </w:tc>
      </w:tr>
    </w:tbl>
    <w:p w:rsidR="002E0AC1" w:rsidRDefault="002E0AC1" w:rsidP="0052780A">
      <w:bookmarkStart w:id="5" w:name="EndPerformance"/>
      <w:bookmarkEnd w:id="3"/>
      <w:bookmarkEnd w:id="5"/>
    </w:p>
    <w:p w:rsidR="002E0AC1" w:rsidRDefault="002E0AC1">
      <w:r>
        <w:br w:type="page"/>
      </w:r>
    </w:p>
    <w:tbl>
      <w:tblPr>
        <w:tblW w:w="0" w:type="auto"/>
        <w:tblLook w:val="00A0"/>
      </w:tblPr>
      <w:tblGrid>
        <w:gridCol w:w="2518"/>
        <w:gridCol w:w="7902"/>
      </w:tblGrid>
      <w:tr w:rsidR="002E0AC1" w:rsidRPr="00CF4D98">
        <w:tc>
          <w:tcPr>
            <w:tcW w:w="2518" w:type="dxa"/>
          </w:tcPr>
          <w:p w:rsidR="002E0AC1" w:rsidRDefault="002E0AC1"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2E0AC1" w:rsidRPr="0036118B" w:rsidRDefault="002E0AC1" w:rsidP="00173AEB">
            <w:pPr>
              <w:pStyle w:val="NOSSideSubHeading"/>
              <w:spacing w:line="240" w:lineRule="auto"/>
              <w:rPr>
                <w:noProof w:val="0"/>
                <w:color w:val="0078C1"/>
              </w:rPr>
            </w:pPr>
            <w:r w:rsidRPr="0036118B">
              <w:rPr>
                <w:noProof w:val="0"/>
                <w:color w:val="0078C1"/>
              </w:rPr>
              <w:t>You need to know and understand:</w:t>
            </w:r>
          </w:p>
          <w:p w:rsidR="002E0AC1" w:rsidRDefault="002E0AC1" w:rsidP="00173AEB">
            <w:pPr>
              <w:pStyle w:val="NOSSideSubHeading"/>
              <w:spacing w:line="240" w:lineRule="auto"/>
              <w:rPr>
                <w:rFonts w:ascii="Helvetica" w:hAnsi="Helvetica" w:cs="Helvetica"/>
                <w:noProof w:val="0"/>
                <w:color w:val="0078C1"/>
              </w:rPr>
            </w:pPr>
          </w:p>
          <w:p w:rsidR="002E0AC1" w:rsidRPr="00CF4D98" w:rsidRDefault="002E0AC1" w:rsidP="00690067">
            <w:pPr>
              <w:pStyle w:val="NOSSideSubHeading"/>
            </w:pPr>
          </w:p>
        </w:tc>
        <w:tc>
          <w:tcPr>
            <w:tcW w:w="7902" w:type="dxa"/>
          </w:tcPr>
          <w:p w:rsidR="002E0AC1" w:rsidRDefault="002E0AC1" w:rsidP="00096E34">
            <w:pPr>
              <w:pStyle w:val="NOSBodyHeading"/>
              <w:spacing w:line="276" w:lineRule="auto"/>
              <w:rPr>
                <w:b w:val="0"/>
                <w:bCs w:val="0"/>
              </w:rPr>
            </w:pPr>
            <w:bookmarkStart w:id="7" w:name="StartKnowledge"/>
            <w:bookmarkEnd w:id="7"/>
          </w:p>
          <w:p w:rsidR="002E0AC1" w:rsidRDefault="002E0AC1" w:rsidP="00096E34">
            <w:pPr>
              <w:pStyle w:val="NOSBodyHeading"/>
              <w:spacing w:line="276" w:lineRule="auto"/>
              <w:rPr>
                <w:b w:val="0"/>
                <w:bCs w:val="0"/>
              </w:rPr>
            </w:pPr>
          </w:p>
          <w:p w:rsidR="002E0AC1" w:rsidRPr="001B0A7B" w:rsidRDefault="002E0AC1" w:rsidP="00096E34">
            <w:pPr>
              <w:pStyle w:val="NOSBodyHeading"/>
              <w:spacing w:line="276" w:lineRule="auto"/>
              <w:rPr>
                <w:b w:val="0"/>
                <w:bCs w:val="0"/>
              </w:rPr>
            </w:pPr>
          </w:p>
          <w:p w:rsidR="002E0AC1" w:rsidRPr="001B0A7B" w:rsidRDefault="002E0AC1" w:rsidP="00096E34">
            <w:pPr>
              <w:pStyle w:val="NOSBodyHeading"/>
              <w:numPr>
                <w:ilvl w:val="0"/>
                <w:numId w:val="18"/>
              </w:numPr>
              <w:spacing w:line="276" w:lineRule="auto"/>
              <w:rPr>
                <w:b w:val="0"/>
                <w:bCs w:val="0"/>
              </w:rPr>
            </w:pPr>
            <w:r>
              <w:rPr>
                <w:b w:val="0"/>
                <w:bCs w:val="0"/>
              </w:rPr>
              <w:t>the principles of operation and constructional detail of marine engineering systems, equipment and control systems</w:t>
            </w:r>
          </w:p>
          <w:p w:rsidR="002E0AC1" w:rsidRPr="001B0A7B" w:rsidRDefault="002E0AC1" w:rsidP="00096E34">
            <w:pPr>
              <w:pStyle w:val="NOSBodyHeading"/>
              <w:numPr>
                <w:ilvl w:val="0"/>
                <w:numId w:val="18"/>
              </w:numPr>
              <w:spacing w:line="276" w:lineRule="auto"/>
              <w:rPr>
                <w:b w:val="0"/>
                <w:bCs w:val="0"/>
              </w:rPr>
            </w:pPr>
            <w:r>
              <w:rPr>
                <w:b w:val="0"/>
                <w:bCs w:val="0"/>
              </w:rPr>
              <w:t>how to determine and specify safe and effective procedures and work methods</w:t>
            </w:r>
          </w:p>
          <w:p w:rsidR="002E0AC1" w:rsidRPr="001B0A7B" w:rsidRDefault="002E0AC1" w:rsidP="00096E34">
            <w:pPr>
              <w:pStyle w:val="NOSBodyHeading"/>
              <w:numPr>
                <w:ilvl w:val="0"/>
                <w:numId w:val="18"/>
              </w:numPr>
              <w:spacing w:line="276" w:lineRule="auto"/>
              <w:rPr>
                <w:b w:val="0"/>
                <w:bCs w:val="0"/>
              </w:rPr>
            </w:pPr>
            <w:r>
              <w:rPr>
                <w:b w:val="0"/>
                <w:bCs w:val="0"/>
              </w:rPr>
              <w:t>the delegation of responsibilities for operating the vessel's machinery and the level of supervision required by individuals</w:t>
            </w:r>
          </w:p>
          <w:p w:rsidR="002E0AC1" w:rsidRPr="001B0A7B" w:rsidRDefault="002E0AC1" w:rsidP="00096E34">
            <w:pPr>
              <w:pStyle w:val="NOSBodyHeading"/>
              <w:numPr>
                <w:ilvl w:val="0"/>
                <w:numId w:val="18"/>
              </w:numPr>
              <w:spacing w:line="276" w:lineRule="auto"/>
              <w:rPr>
                <w:b w:val="0"/>
                <w:bCs w:val="0"/>
              </w:rPr>
            </w:pPr>
            <w:r>
              <w:rPr>
                <w:b w:val="0"/>
                <w:bCs w:val="0"/>
              </w:rPr>
              <w:t>the statutory restrictions on the working hours of individuals</w:t>
            </w:r>
          </w:p>
          <w:p w:rsidR="002E0AC1" w:rsidRPr="001B0A7B" w:rsidRDefault="002E0AC1" w:rsidP="00096E34">
            <w:pPr>
              <w:pStyle w:val="NOSBodyHeading"/>
              <w:numPr>
                <w:ilvl w:val="0"/>
                <w:numId w:val="18"/>
              </w:numPr>
              <w:spacing w:line="276" w:lineRule="auto"/>
              <w:rPr>
                <w:b w:val="0"/>
                <w:bCs w:val="0"/>
              </w:rPr>
            </w:pPr>
            <w:r>
              <w:rPr>
                <w:b w:val="0"/>
                <w:bCs w:val="0"/>
              </w:rPr>
              <w:t>the use of internal communication systems and effective forms of communication</w:t>
            </w:r>
          </w:p>
          <w:p w:rsidR="002E0AC1" w:rsidRPr="001B0A7B" w:rsidRDefault="002E0AC1" w:rsidP="00096E34">
            <w:pPr>
              <w:pStyle w:val="NOSBodyHeading"/>
              <w:numPr>
                <w:ilvl w:val="0"/>
                <w:numId w:val="18"/>
              </w:numPr>
              <w:spacing w:line="276" w:lineRule="auto"/>
              <w:rPr>
                <w:b w:val="0"/>
                <w:bCs w:val="0"/>
              </w:rPr>
            </w:pPr>
            <w:r>
              <w:rPr>
                <w:b w:val="0"/>
                <w:bCs w:val="0"/>
              </w:rPr>
              <w:t>how to identify and assess the competence of individuals and their training needs</w:t>
            </w:r>
          </w:p>
          <w:p w:rsidR="002E0AC1" w:rsidRPr="001B0A7B" w:rsidRDefault="002E0AC1" w:rsidP="00096E34">
            <w:pPr>
              <w:pStyle w:val="NOSBodyHeading"/>
              <w:numPr>
                <w:ilvl w:val="0"/>
                <w:numId w:val="18"/>
              </w:numPr>
              <w:spacing w:line="276" w:lineRule="auto"/>
              <w:rPr>
                <w:b w:val="0"/>
                <w:bCs w:val="0"/>
              </w:rPr>
            </w:pPr>
            <w:r>
              <w:rPr>
                <w:b w:val="0"/>
                <w:bCs w:val="0"/>
              </w:rPr>
              <w:t>how to draw up and implement training plans</w:t>
            </w:r>
          </w:p>
          <w:p w:rsidR="002E0AC1" w:rsidRPr="001B0A7B" w:rsidRDefault="002E0AC1" w:rsidP="00096E34">
            <w:pPr>
              <w:pStyle w:val="NOSBodyHeading"/>
              <w:numPr>
                <w:ilvl w:val="0"/>
                <w:numId w:val="18"/>
              </w:numPr>
              <w:spacing w:line="276" w:lineRule="auto"/>
              <w:rPr>
                <w:b w:val="0"/>
                <w:bCs w:val="0"/>
              </w:rPr>
            </w:pPr>
            <w:r>
              <w:rPr>
                <w:b w:val="0"/>
                <w:bCs w:val="0"/>
              </w:rPr>
              <w:t>statutory and organisational reporting requirements</w:t>
            </w:r>
          </w:p>
          <w:p w:rsidR="002E0AC1" w:rsidRPr="001B0A7B" w:rsidRDefault="002E0AC1" w:rsidP="00096E34">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2E0AC1" w:rsidRPr="001B0A7B" w:rsidRDefault="002E0AC1" w:rsidP="00096E34">
            <w:pPr>
              <w:pStyle w:val="NOSBodyHeading"/>
              <w:numPr>
                <w:ilvl w:val="0"/>
                <w:numId w:val="18"/>
              </w:numPr>
              <w:spacing w:line="276" w:lineRule="auto"/>
              <w:rPr>
                <w:b w:val="0"/>
                <w:bCs w:val="0"/>
              </w:rPr>
            </w:pPr>
            <w:r>
              <w:rPr>
                <w:b w:val="0"/>
                <w:bCs w:val="0"/>
              </w:rPr>
              <w:t>how to evaluate and apply Statutory Regulations and guidelines, organisational instructions and guidance and vessel contingency plans</w:t>
            </w:r>
          </w:p>
          <w:p w:rsidR="002E0AC1" w:rsidRPr="001B0A7B" w:rsidRDefault="002E0AC1" w:rsidP="00096E34">
            <w:pPr>
              <w:pStyle w:val="NOSBodyHeading"/>
              <w:spacing w:line="276" w:lineRule="auto"/>
              <w:rPr>
                <w:b w:val="0"/>
                <w:bCs w:val="0"/>
              </w:rPr>
            </w:pPr>
          </w:p>
        </w:tc>
      </w:tr>
    </w:tbl>
    <w:p w:rsidR="002E0AC1" w:rsidRDefault="002E0AC1">
      <w:bookmarkStart w:id="8" w:name="EndKnowledge"/>
      <w:bookmarkEnd w:id="6"/>
      <w:bookmarkEnd w:id="8"/>
      <w:r>
        <w:br w:type="page"/>
      </w:r>
    </w:p>
    <w:tbl>
      <w:tblPr>
        <w:tblW w:w="0" w:type="auto"/>
        <w:tblLook w:val="00A0"/>
      </w:tblPr>
      <w:tblGrid>
        <w:gridCol w:w="2518"/>
        <w:gridCol w:w="7902"/>
      </w:tblGrid>
      <w:tr w:rsidR="002E0AC1" w:rsidRPr="00CF4D98">
        <w:tc>
          <w:tcPr>
            <w:tcW w:w="2518" w:type="dxa"/>
          </w:tcPr>
          <w:p w:rsidR="002E0AC1" w:rsidRPr="004E05F7" w:rsidRDefault="002E0AC1" w:rsidP="00690067">
            <w:pPr>
              <w:pStyle w:val="NOSSideHeading"/>
            </w:pPr>
            <w:r>
              <w:lastRenderedPageBreak/>
              <w:br w:type="page"/>
            </w:r>
            <w:r w:rsidRPr="004E05F7">
              <w:rPr>
                <w:rStyle w:val="A2"/>
                <w:b/>
                <w:bCs/>
                <w:color w:val="0070C0"/>
              </w:rPr>
              <w:t>Developed by</w:t>
            </w:r>
          </w:p>
        </w:tc>
        <w:tc>
          <w:tcPr>
            <w:tcW w:w="7902" w:type="dxa"/>
          </w:tcPr>
          <w:p w:rsidR="002E0AC1" w:rsidRDefault="002E0AC1" w:rsidP="00910DA5">
            <w:pPr>
              <w:pStyle w:val="NOSBodyText"/>
            </w:pPr>
            <w:bookmarkStart w:id="9" w:name="StartDevelopedBy"/>
            <w:bookmarkEnd w:id="9"/>
            <w:r>
              <w:t>Maritime Skills Alliance</w:t>
            </w:r>
          </w:p>
          <w:p w:rsidR="002E0AC1" w:rsidRPr="00CF4D98" w:rsidRDefault="002E0AC1" w:rsidP="001F6BF7">
            <w:pPr>
              <w:pStyle w:val="NOSBodyText"/>
            </w:pPr>
            <w:bookmarkStart w:id="10" w:name="EndDevelopedBy"/>
            <w:bookmarkEnd w:id="10"/>
          </w:p>
        </w:tc>
      </w:tr>
      <w:tr w:rsidR="002E0AC1" w:rsidRPr="00CF4D98">
        <w:tc>
          <w:tcPr>
            <w:tcW w:w="2518" w:type="dxa"/>
          </w:tcPr>
          <w:p w:rsidR="002E0AC1" w:rsidRPr="004E05F7" w:rsidRDefault="00A43F39"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2E0AC1" w:rsidRPr="004E05F7">
              <w:rPr>
                <w:rStyle w:val="A2"/>
                <w:b/>
                <w:bCs/>
                <w:color w:val="0070C0"/>
              </w:rPr>
              <w:t>Version number</w:t>
            </w:r>
          </w:p>
        </w:tc>
        <w:tc>
          <w:tcPr>
            <w:tcW w:w="7902" w:type="dxa"/>
          </w:tcPr>
          <w:p w:rsidR="002E0AC1" w:rsidRDefault="002E0AC1" w:rsidP="001F6BF7">
            <w:pPr>
              <w:pStyle w:val="NOSBodyText"/>
              <w:rPr>
                <w:color w:val="221E1F"/>
              </w:rPr>
            </w:pPr>
            <w:bookmarkStart w:id="11" w:name="StartVersion"/>
            <w:bookmarkEnd w:id="11"/>
            <w:r>
              <w:rPr>
                <w:color w:val="221E1F"/>
              </w:rPr>
              <w:t>2</w:t>
            </w:r>
          </w:p>
          <w:p w:rsidR="002E0AC1" w:rsidRPr="004E05F7" w:rsidRDefault="002E0AC1" w:rsidP="001F6BF7">
            <w:pPr>
              <w:pStyle w:val="NOSBodyText"/>
              <w:rPr>
                <w:color w:val="221E1F"/>
              </w:rPr>
            </w:pPr>
            <w:bookmarkStart w:id="12" w:name="EndVersion"/>
            <w:bookmarkEnd w:id="12"/>
          </w:p>
        </w:tc>
      </w:tr>
      <w:tr w:rsidR="002E0AC1" w:rsidRPr="00CF4D98">
        <w:tc>
          <w:tcPr>
            <w:tcW w:w="2518" w:type="dxa"/>
          </w:tcPr>
          <w:p w:rsidR="002E0AC1" w:rsidRPr="004E05F7" w:rsidRDefault="00A43F3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A43F39">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2E0AC1">
              <w:rPr>
                <w:rStyle w:val="A2"/>
                <w:rFonts w:ascii="Helvetica" w:hAnsi="Helvetica" w:cs="Helvetica"/>
                <w:noProof/>
                <w:lang w:eastAsia="en-GB"/>
              </w:rPr>
              <w:t>Date approved</w:t>
            </w:r>
          </w:p>
        </w:tc>
        <w:tc>
          <w:tcPr>
            <w:tcW w:w="7902" w:type="dxa"/>
          </w:tcPr>
          <w:p w:rsidR="002E0AC1" w:rsidRDefault="00C64D0F" w:rsidP="003A293A">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2E0AC1" w:rsidRPr="004E05F7" w:rsidRDefault="002E0AC1" w:rsidP="003A293A">
            <w:pPr>
              <w:pStyle w:val="NOSBodyText"/>
              <w:rPr>
                <w:color w:val="221E1F"/>
              </w:rPr>
            </w:pPr>
          </w:p>
        </w:tc>
      </w:tr>
      <w:tr w:rsidR="002E0AC1" w:rsidRPr="00CF4D98">
        <w:tc>
          <w:tcPr>
            <w:tcW w:w="2518" w:type="dxa"/>
          </w:tcPr>
          <w:p w:rsidR="002E0AC1" w:rsidRDefault="002E0AC1"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A43F39" w:rsidRPr="00A43F39">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2E0AC1" w:rsidRPr="004E05F7" w:rsidRDefault="002E0AC1"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2E0AC1" w:rsidRPr="004E05F7" w:rsidRDefault="00C64D0F" w:rsidP="003A293A">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2E0AC1" w:rsidRPr="00CF4D98">
        <w:tc>
          <w:tcPr>
            <w:tcW w:w="2518" w:type="dxa"/>
          </w:tcPr>
          <w:p w:rsidR="002E0AC1" w:rsidRPr="004E05F7" w:rsidRDefault="00A43F3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A43F39">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2E0AC1">
              <w:rPr>
                <w:rStyle w:val="A2"/>
                <w:rFonts w:ascii="Helvetica" w:hAnsi="Helvetica" w:cs="Helvetica"/>
                <w:noProof/>
                <w:lang w:eastAsia="en-GB"/>
              </w:rPr>
              <w:t>Validity</w:t>
            </w:r>
          </w:p>
        </w:tc>
        <w:tc>
          <w:tcPr>
            <w:tcW w:w="7902" w:type="dxa"/>
          </w:tcPr>
          <w:p w:rsidR="002E0AC1" w:rsidRDefault="002E0AC1" w:rsidP="00690067">
            <w:pPr>
              <w:pStyle w:val="NOSBodyText"/>
              <w:rPr>
                <w:rStyle w:val="A3"/>
              </w:rPr>
            </w:pPr>
            <w:bookmarkStart w:id="19" w:name="StartValidity"/>
            <w:bookmarkEnd w:id="19"/>
            <w:r>
              <w:rPr>
                <w:rStyle w:val="A3"/>
              </w:rPr>
              <w:t>Current</w:t>
            </w:r>
          </w:p>
          <w:p w:rsidR="002E0AC1" w:rsidRPr="004E05F7" w:rsidRDefault="002E0AC1" w:rsidP="00690067">
            <w:pPr>
              <w:pStyle w:val="NOSBodyText"/>
              <w:rPr>
                <w:color w:val="221E1F"/>
              </w:rPr>
            </w:pPr>
            <w:bookmarkStart w:id="20" w:name="EndValidity"/>
            <w:bookmarkEnd w:id="20"/>
          </w:p>
        </w:tc>
      </w:tr>
      <w:tr w:rsidR="002E0AC1" w:rsidRPr="00CF4D98">
        <w:tc>
          <w:tcPr>
            <w:tcW w:w="2518" w:type="dxa"/>
          </w:tcPr>
          <w:p w:rsidR="002E0AC1" w:rsidRPr="004E05F7" w:rsidRDefault="00A43F3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A43F39">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2E0AC1">
              <w:rPr>
                <w:rStyle w:val="A2"/>
                <w:rFonts w:ascii="Helvetica" w:hAnsi="Helvetica" w:cs="Helvetica"/>
                <w:noProof/>
                <w:lang w:eastAsia="en-GB"/>
              </w:rPr>
              <w:t>Status</w:t>
            </w:r>
          </w:p>
        </w:tc>
        <w:tc>
          <w:tcPr>
            <w:tcW w:w="7902" w:type="dxa"/>
          </w:tcPr>
          <w:p w:rsidR="002E0AC1" w:rsidRDefault="002E0AC1" w:rsidP="001F6BF7">
            <w:pPr>
              <w:pStyle w:val="NOSBodyText"/>
              <w:rPr>
                <w:color w:val="221E1F"/>
              </w:rPr>
            </w:pPr>
            <w:bookmarkStart w:id="21" w:name="StartStatus"/>
            <w:bookmarkEnd w:id="21"/>
            <w:r>
              <w:rPr>
                <w:color w:val="221E1F"/>
              </w:rPr>
              <w:t>Original</w:t>
            </w:r>
          </w:p>
          <w:p w:rsidR="002E0AC1" w:rsidRPr="004E05F7" w:rsidRDefault="002E0AC1" w:rsidP="001F6BF7">
            <w:pPr>
              <w:pStyle w:val="NOSBodyText"/>
              <w:rPr>
                <w:color w:val="221E1F"/>
              </w:rPr>
            </w:pPr>
            <w:bookmarkStart w:id="22" w:name="EndStatus"/>
            <w:bookmarkEnd w:id="22"/>
          </w:p>
        </w:tc>
      </w:tr>
      <w:tr w:rsidR="002E0AC1" w:rsidRPr="00CF4D98">
        <w:tc>
          <w:tcPr>
            <w:tcW w:w="2518" w:type="dxa"/>
          </w:tcPr>
          <w:p w:rsidR="002E0AC1" w:rsidRDefault="00A43F39" w:rsidP="00690067">
            <w:pPr>
              <w:autoSpaceDE w:val="0"/>
              <w:autoSpaceDN w:val="0"/>
              <w:adjustRightInd w:val="0"/>
              <w:spacing w:after="0" w:line="241" w:lineRule="atLeast"/>
              <w:rPr>
                <w:rStyle w:val="A2"/>
                <w:rFonts w:ascii="Helvetica" w:hAnsi="Helvetica" w:cs="Helvetica"/>
                <w:noProof/>
                <w:lang w:eastAsia="en-GB"/>
              </w:rPr>
            </w:pPr>
            <w:r w:rsidRPr="00A43F39">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2E0AC1">
              <w:rPr>
                <w:rStyle w:val="A2"/>
                <w:rFonts w:ascii="Helvetica" w:hAnsi="Helvetica" w:cs="Helvetica"/>
                <w:noProof/>
                <w:lang w:eastAsia="en-GB"/>
              </w:rPr>
              <w:t>Originating organisation</w:t>
            </w:r>
            <w:r w:rsidRPr="00A43F39">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2E0AC1" w:rsidRPr="004E05F7" w:rsidRDefault="002E0AC1"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2E0AC1" w:rsidRDefault="002E0AC1" w:rsidP="001F6BF7">
            <w:pPr>
              <w:pStyle w:val="NOSBodyText"/>
              <w:rPr>
                <w:color w:val="221E1F"/>
              </w:rPr>
            </w:pPr>
            <w:bookmarkStart w:id="23" w:name="StartOrigin"/>
            <w:bookmarkEnd w:id="23"/>
            <w:r>
              <w:rPr>
                <w:color w:val="221E1F"/>
              </w:rPr>
              <w:t>Skills for Justice</w:t>
            </w:r>
          </w:p>
          <w:p w:rsidR="002E0AC1" w:rsidRPr="004E05F7" w:rsidRDefault="002E0AC1" w:rsidP="001F6BF7">
            <w:pPr>
              <w:pStyle w:val="NOSBodyText"/>
              <w:rPr>
                <w:color w:val="221E1F"/>
              </w:rPr>
            </w:pPr>
            <w:bookmarkStart w:id="24" w:name="EndOrigin"/>
            <w:bookmarkEnd w:id="24"/>
          </w:p>
        </w:tc>
      </w:tr>
      <w:tr w:rsidR="002E0AC1" w:rsidRPr="00CF4D98">
        <w:tc>
          <w:tcPr>
            <w:tcW w:w="2518" w:type="dxa"/>
          </w:tcPr>
          <w:p w:rsidR="002E0AC1" w:rsidRPr="004E05F7" w:rsidRDefault="00A43F3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A43F39">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A43F39">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2E0AC1">
              <w:rPr>
                <w:rStyle w:val="A2"/>
                <w:rFonts w:ascii="Helvetica" w:hAnsi="Helvetica" w:cs="Helvetica"/>
                <w:noProof/>
                <w:lang w:eastAsia="en-GB"/>
              </w:rPr>
              <w:t>Original URN</w:t>
            </w:r>
          </w:p>
        </w:tc>
        <w:tc>
          <w:tcPr>
            <w:tcW w:w="7902" w:type="dxa"/>
          </w:tcPr>
          <w:p w:rsidR="002E0AC1" w:rsidRDefault="00C64D0F" w:rsidP="001F6BF7">
            <w:pPr>
              <w:pStyle w:val="NOSBodyText"/>
              <w:rPr>
                <w:color w:val="221E1F"/>
              </w:rPr>
            </w:pPr>
            <w:bookmarkStart w:id="25" w:name="StartOriginURN"/>
            <w:bookmarkEnd w:id="25"/>
            <w:r>
              <w:rPr>
                <w:color w:val="221E1F"/>
              </w:rPr>
              <w:t xml:space="preserve">MSA </w:t>
            </w:r>
            <w:r w:rsidR="00646A28">
              <w:rPr>
                <w:color w:val="221E1F"/>
              </w:rPr>
              <w:t>C52</w:t>
            </w:r>
          </w:p>
          <w:p w:rsidR="00646A28" w:rsidRPr="004E05F7" w:rsidRDefault="00646A28" w:rsidP="001F6BF7">
            <w:pPr>
              <w:pStyle w:val="NOSBodyText"/>
              <w:rPr>
                <w:color w:val="221E1F"/>
              </w:rPr>
            </w:pPr>
            <w:bookmarkStart w:id="26" w:name="EndOriginURN"/>
            <w:bookmarkEnd w:id="26"/>
          </w:p>
        </w:tc>
      </w:tr>
      <w:tr w:rsidR="002E0AC1" w:rsidRPr="00CF4D98">
        <w:tc>
          <w:tcPr>
            <w:tcW w:w="2518" w:type="dxa"/>
          </w:tcPr>
          <w:p w:rsidR="002E0AC1" w:rsidRDefault="002E0AC1"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2E0AC1" w:rsidRPr="004E05F7" w:rsidRDefault="002E0AC1"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2E0AC1" w:rsidRPr="00646A28" w:rsidRDefault="00646A28" w:rsidP="00560DA4">
            <w:pPr>
              <w:rPr>
                <w:rFonts w:ascii="Arial" w:hAnsi="Arial" w:cs="Arial"/>
              </w:rPr>
            </w:pPr>
            <w:bookmarkStart w:id="27" w:name="StartOccupations"/>
            <w:bookmarkStart w:id="28" w:name="EndOccupations"/>
            <w:bookmarkEnd w:id="27"/>
            <w:bookmarkEnd w:id="28"/>
            <w:r w:rsidRPr="00000D35">
              <w:rPr>
                <w:rFonts w:ascii="Arial" w:hAnsi="Arial" w:cs="Arial"/>
                <w:color w:val="221E1F"/>
              </w:rPr>
              <w:t>Engineer</w:t>
            </w:r>
            <w:bookmarkStart w:id="29" w:name="endrelevantoccupations"/>
            <w:bookmarkEnd w:id="29"/>
          </w:p>
        </w:tc>
      </w:tr>
      <w:tr w:rsidR="002E0AC1" w:rsidRPr="00CF4D98">
        <w:tc>
          <w:tcPr>
            <w:tcW w:w="2518" w:type="dxa"/>
          </w:tcPr>
          <w:p w:rsidR="002E0AC1" w:rsidRPr="004E05F7" w:rsidRDefault="00A43F3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A43F39">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2E0AC1">
              <w:rPr>
                <w:rStyle w:val="A2"/>
                <w:rFonts w:ascii="Helvetica" w:hAnsi="Helvetica" w:cs="Helvetica"/>
                <w:noProof/>
                <w:lang w:eastAsia="en-GB"/>
              </w:rPr>
              <w:t>Suite</w:t>
            </w:r>
          </w:p>
        </w:tc>
        <w:tc>
          <w:tcPr>
            <w:tcW w:w="7902" w:type="dxa"/>
          </w:tcPr>
          <w:p w:rsidR="002E0AC1" w:rsidRDefault="002E0AC1" w:rsidP="001F6BF7">
            <w:pPr>
              <w:pStyle w:val="NOSBodyText"/>
              <w:rPr>
                <w:color w:val="221E1F"/>
              </w:rPr>
            </w:pPr>
            <w:bookmarkStart w:id="30" w:name="StartSuite"/>
            <w:bookmarkEnd w:id="30"/>
            <w:r>
              <w:rPr>
                <w:color w:val="221E1F"/>
              </w:rPr>
              <w:t>Maritime</w:t>
            </w:r>
          </w:p>
          <w:p w:rsidR="002E0AC1" w:rsidRPr="004E05F7" w:rsidRDefault="002E0AC1" w:rsidP="001F6BF7">
            <w:pPr>
              <w:pStyle w:val="NOSBodyText"/>
              <w:rPr>
                <w:color w:val="221E1F"/>
              </w:rPr>
            </w:pPr>
            <w:bookmarkStart w:id="31" w:name="EndSuite"/>
            <w:bookmarkEnd w:id="31"/>
          </w:p>
        </w:tc>
      </w:tr>
      <w:tr w:rsidR="002E0AC1" w:rsidRPr="00CF4D98">
        <w:tc>
          <w:tcPr>
            <w:tcW w:w="2518" w:type="dxa"/>
          </w:tcPr>
          <w:p w:rsidR="002E0AC1" w:rsidRPr="004E05F7" w:rsidRDefault="00A43F3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A43F39">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2E0AC1">
              <w:rPr>
                <w:rStyle w:val="A2"/>
                <w:rFonts w:ascii="Helvetica" w:hAnsi="Helvetica" w:cs="Helvetica"/>
                <w:noProof/>
                <w:lang w:eastAsia="en-GB"/>
              </w:rPr>
              <w:t>Key words</w:t>
            </w:r>
          </w:p>
        </w:tc>
        <w:tc>
          <w:tcPr>
            <w:tcW w:w="7902" w:type="dxa"/>
          </w:tcPr>
          <w:p w:rsidR="002E0AC1" w:rsidRPr="004E05F7" w:rsidRDefault="00646A28" w:rsidP="00881EA3">
            <w:pPr>
              <w:pStyle w:val="NOSNumberList"/>
              <w:numPr>
                <w:ilvl w:val="0"/>
                <w:numId w:val="0"/>
              </w:numPr>
              <w:spacing w:line="276" w:lineRule="exact"/>
              <w:rPr>
                <w:color w:val="221E1F"/>
              </w:rPr>
            </w:pPr>
            <w:bookmarkStart w:id="32" w:name="StartKeywords"/>
            <w:bookmarkEnd w:id="32"/>
            <w:r>
              <w:t xml:space="preserve">plan and direct; vessel; engineering; operations; specialist operations; organising; managing the crew; monitoring; controlling; compliance; legislative requirements; measures </w:t>
            </w:r>
            <w:bookmarkStart w:id="33" w:name="EndKeywords"/>
            <w:bookmarkEnd w:id="33"/>
          </w:p>
        </w:tc>
      </w:tr>
    </w:tbl>
    <w:p w:rsidR="002E0AC1" w:rsidRDefault="002E0AC1" w:rsidP="0052780A"/>
    <w:sectPr w:rsidR="002E0AC1"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AC1" w:rsidRDefault="002E0AC1" w:rsidP="00521BFC">
      <w:r>
        <w:separator/>
      </w:r>
    </w:p>
  </w:endnote>
  <w:endnote w:type="continuationSeparator" w:id="0">
    <w:p w:rsidR="002E0AC1" w:rsidRDefault="002E0AC1"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AC1" w:rsidRPr="00D13FFB" w:rsidRDefault="00C64D0F" w:rsidP="009F7CB5">
    <w:pPr>
      <w:pStyle w:val="Footer"/>
      <w:tabs>
        <w:tab w:val="left" w:pos="1200"/>
        <w:tab w:val="right" w:pos="10206"/>
      </w:tabs>
      <w:rPr>
        <w:sz w:val="18"/>
        <w:szCs w:val="18"/>
      </w:rPr>
    </w:pPr>
    <w:r w:rsidRPr="00C64D0F">
      <w:rPr>
        <w:rFonts w:ascii="Arial" w:hAnsi="Arial" w:cs="Arial"/>
        <w:bCs/>
        <w:noProof/>
        <w:sz w:val="14"/>
        <w:szCs w:val="14"/>
      </w:rPr>
      <w:t>MSA C52</w:t>
    </w:r>
    <w:r>
      <w:rPr>
        <w:rFonts w:ascii="Arial" w:hAnsi="Arial" w:cs="Arial"/>
        <w:bCs/>
        <w:noProof/>
        <w:sz w:val="14"/>
        <w:szCs w:val="14"/>
      </w:rPr>
      <w:t xml:space="preserve"> </w:t>
    </w:r>
    <w:r w:rsidRPr="00C64D0F">
      <w:rPr>
        <w:rFonts w:ascii="Arial" w:hAnsi="Arial" w:cs="Arial"/>
        <w:noProof/>
        <w:sz w:val="14"/>
        <w:szCs w:val="14"/>
      </w:rPr>
      <w:t>Direct vessel engineering operations</w:t>
    </w:r>
    <w:r w:rsidR="002E0AC1">
      <w:rPr>
        <w:sz w:val="18"/>
        <w:szCs w:val="18"/>
      </w:rPr>
      <w:tab/>
    </w:r>
    <w:r w:rsidR="002E0AC1">
      <w:rPr>
        <w:sz w:val="18"/>
        <w:szCs w:val="18"/>
      </w:rPr>
      <w:tab/>
    </w:r>
    <w:r w:rsidR="00A43F39" w:rsidRPr="008C0064">
      <w:rPr>
        <w:rFonts w:ascii="Arial" w:hAnsi="Arial" w:cs="Arial"/>
        <w:sz w:val="14"/>
        <w:szCs w:val="14"/>
      </w:rPr>
      <w:fldChar w:fldCharType="begin"/>
    </w:r>
    <w:r w:rsidR="002E0AC1" w:rsidRPr="008C0064">
      <w:rPr>
        <w:rFonts w:ascii="Arial" w:hAnsi="Arial" w:cs="Arial"/>
        <w:sz w:val="14"/>
        <w:szCs w:val="14"/>
      </w:rPr>
      <w:instrText xml:space="preserve"> PAGE   \* MERGEFORMAT </w:instrText>
    </w:r>
    <w:r w:rsidR="00A43F39" w:rsidRPr="008C0064">
      <w:rPr>
        <w:rFonts w:ascii="Arial" w:hAnsi="Arial" w:cs="Arial"/>
        <w:sz w:val="14"/>
        <w:szCs w:val="14"/>
      </w:rPr>
      <w:fldChar w:fldCharType="separate"/>
    </w:r>
    <w:r w:rsidR="00881EA3">
      <w:rPr>
        <w:rFonts w:ascii="Arial" w:hAnsi="Arial" w:cs="Arial"/>
        <w:noProof/>
        <w:sz w:val="14"/>
        <w:szCs w:val="14"/>
      </w:rPr>
      <w:t>4</w:t>
    </w:r>
    <w:r w:rsidR="00A43F39"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AC1" w:rsidRPr="0086259F" w:rsidRDefault="00C64D0F" w:rsidP="0086259F">
    <w:pPr>
      <w:pStyle w:val="Footer"/>
      <w:tabs>
        <w:tab w:val="left" w:pos="1200"/>
        <w:tab w:val="right" w:pos="10206"/>
      </w:tabs>
      <w:rPr>
        <w:sz w:val="18"/>
        <w:szCs w:val="18"/>
      </w:rPr>
    </w:pPr>
    <w:r w:rsidRPr="00C64D0F">
      <w:rPr>
        <w:rFonts w:ascii="Arial" w:hAnsi="Arial" w:cs="Arial"/>
        <w:bCs/>
        <w:noProof/>
        <w:sz w:val="14"/>
        <w:szCs w:val="14"/>
      </w:rPr>
      <w:t>MSA C52</w:t>
    </w:r>
    <w:r>
      <w:rPr>
        <w:rFonts w:ascii="Arial" w:hAnsi="Arial" w:cs="Arial"/>
        <w:bCs/>
        <w:noProof/>
        <w:sz w:val="14"/>
        <w:szCs w:val="14"/>
      </w:rPr>
      <w:t xml:space="preserve"> </w:t>
    </w:r>
    <w:r w:rsidRPr="00C64D0F">
      <w:rPr>
        <w:rFonts w:ascii="Arial" w:hAnsi="Arial" w:cs="Arial"/>
        <w:noProof/>
        <w:sz w:val="14"/>
        <w:szCs w:val="14"/>
      </w:rPr>
      <w:t>Direct vessel engineering operations</w:t>
    </w:r>
    <w:r w:rsidR="002E0AC1">
      <w:rPr>
        <w:sz w:val="18"/>
        <w:szCs w:val="18"/>
      </w:rPr>
      <w:tab/>
    </w:r>
    <w:r w:rsidR="002E0AC1">
      <w:rPr>
        <w:sz w:val="18"/>
        <w:szCs w:val="18"/>
      </w:rPr>
      <w:tab/>
    </w:r>
    <w:r w:rsidR="00A43F39" w:rsidRPr="008C0064">
      <w:rPr>
        <w:rFonts w:ascii="Arial" w:hAnsi="Arial" w:cs="Arial"/>
        <w:sz w:val="14"/>
        <w:szCs w:val="14"/>
      </w:rPr>
      <w:fldChar w:fldCharType="begin"/>
    </w:r>
    <w:r w:rsidR="002E0AC1" w:rsidRPr="008C0064">
      <w:rPr>
        <w:rFonts w:ascii="Arial" w:hAnsi="Arial" w:cs="Arial"/>
        <w:sz w:val="14"/>
        <w:szCs w:val="14"/>
      </w:rPr>
      <w:instrText xml:space="preserve"> PAGE   \* MERGEFORMAT </w:instrText>
    </w:r>
    <w:r w:rsidR="00A43F39" w:rsidRPr="008C0064">
      <w:rPr>
        <w:rFonts w:ascii="Arial" w:hAnsi="Arial" w:cs="Arial"/>
        <w:sz w:val="14"/>
        <w:szCs w:val="14"/>
      </w:rPr>
      <w:fldChar w:fldCharType="separate"/>
    </w:r>
    <w:r w:rsidR="00881EA3">
      <w:rPr>
        <w:rFonts w:ascii="Arial" w:hAnsi="Arial" w:cs="Arial"/>
        <w:noProof/>
        <w:sz w:val="14"/>
        <w:szCs w:val="14"/>
      </w:rPr>
      <w:t>1</w:t>
    </w:r>
    <w:r w:rsidR="00A43F39"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AC1" w:rsidRDefault="002E0AC1" w:rsidP="00521BFC">
      <w:r>
        <w:separator/>
      </w:r>
    </w:p>
  </w:footnote>
  <w:footnote w:type="continuationSeparator" w:id="0">
    <w:p w:rsidR="002E0AC1" w:rsidRDefault="002E0AC1"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AC1" w:rsidRPr="003C6D88" w:rsidRDefault="00A43F39"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646A28">
      <w:rPr>
        <w:rFonts w:ascii="Arial" w:hAnsi="Arial" w:cs="Arial"/>
        <w:b/>
        <w:bCs/>
        <w:noProof/>
        <w:sz w:val="32"/>
        <w:szCs w:val="32"/>
      </w:rPr>
      <w:t xml:space="preserve">MSA </w:t>
    </w:r>
    <w:r w:rsidR="002E0AC1">
      <w:rPr>
        <w:rFonts w:ascii="Arial" w:hAnsi="Arial" w:cs="Arial"/>
        <w:b/>
        <w:bCs/>
        <w:noProof/>
        <w:sz w:val="32"/>
        <w:szCs w:val="32"/>
      </w:rPr>
      <w:t>C52</w:t>
    </w:r>
    <w:r w:rsidR="002E0AC1" w:rsidRPr="003C6D88">
      <w:rPr>
        <w:noProof/>
        <w:sz w:val="32"/>
        <w:szCs w:val="32"/>
      </w:rPr>
      <w:br/>
    </w:r>
    <w:r w:rsidR="002E0AC1">
      <w:rPr>
        <w:rFonts w:ascii="Arial" w:hAnsi="Arial" w:cs="Arial"/>
        <w:noProof/>
        <w:sz w:val="32"/>
        <w:szCs w:val="32"/>
      </w:rPr>
      <w:t xml:space="preserve">Direct </w:t>
    </w:r>
    <w:r w:rsidR="00F159F4">
      <w:rPr>
        <w:rFonts w:ascii="Arial" w:hAnsi="Arial" w:cs="Arial"/>
        <w:noProof/>
        <w:sz w:val="32"/>
        <w:szCs w:val="32"/>
      </w:rPr>
      <w:t>v</w:t>
    </w:r>
    <w:r w:rsidR="002E0AC1">
      <w:rPr>
        <w:rFonts w:ascii="Arial" w:hAnsi="Arial" w:cs="Arial"/>
        <w:noProof/>
        <w:sz w:val="32"/>
        <w:szCs w:val="32"/>
      </w:rPr>
      <w:t xml:space="preserve">essel </w:t>
    </w:r>
    <w:r w:rsidR="00F159F4">
      <w:rPr>
        <w:rFonts w:ascii="Arial" w:hAnsi="Arial" w:cs="Arial"/>
        <w:noProof/>
        <w:sz w:val="32"/>
        <w:szCs w:val="32"/>
      </w:rPr>
      <w:t>e</w:t>
    </w:r>
    <w:r w:rsidR="002E0AC1">
      <w:rPr>
        <w:rFonts w:ascii="Arial" w:hAnsi="Arial" w:cs="Arial"/>
        <w:noProof/>
        <w:sz w:val="32"/>
        <w:szCs w:val="32"/>
      </w:rPr>
      <w:t xml:space="preserve">ngineering </w:t>
    </w:r>
    <w:r w:rsidR="00F159F4">
      <w:rPr>
        <w:rFonts w:ascii="Arial" w:hAnsi="Arial" w:cs="Arial"/>
        <w:noProof/>
        <w:sz w:val="32"/>
        <w:szCs w:val="32"/>
      </w:rPr>
      <w:t>o</w:t>
    </w:r>
    <w:r w:rsidR="002E0AC1">
      <w:rPr>
        <w:rFonts w:ascii="Arial" w:hAnsi="Arial" w:cs="Arial"/>
        <w:noProof/>
        <w:sz w:val="32"/>
        <w:szCs w:val="32"/>
      </w:rPr>
      <w:t>perations</w:t>
    </w:r>
    <w:r w:rsidR="002E0AC1">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2E0AC1">
      <w:trPr>
        <w:cantSplit/>
        <w:trHeight w:val="1065"/>
      </w:trPr>
      <w:tc>
        <w:tcPr>
          <w:tcW w:w="7616" w:type="dxa"/>
        </w:tcPr>
        <w:p w:rsidR="002E0AC1" w:rsidRPr="003C50B9" w:rsidRDefault="00646A28" w:rsidP="003C50B9">
          <w:pPr>
            <w:pStyle w:val="Header"/>
            <w:spacing w:after="0" w:line="240" w:lineRule="auto"/>
            <w:rPr>
              <w:rFonts w:ascii="Arial" w:hAnsi="Arial" w:cs="Arial"/>
              <w:b/>
              <w:bCs/>
              <w:sz w:val="32"/>
              <w:szCs w:val="32"/>
            </w:rPr>
          </w:pPr>
          <w:r>
            <w:rPr>
              <w:rFonts w:ascii="Arial" w:hAnsi="Arial" w:cs="Arial"/>
              <w:b/>
              <w:bCs/>
              <w:sz w:val="32"/>
              <w:szCs w:val="32"/>
            </w:rPr>
            <w:t xml:space="preserve">MSA </w:t>
          </w:r>
          <w:r w:rsidR="002E0AC1" w:rsidRPr="003C50B9">
            <w:rPr>
              <w:rFonts w:ascii="Arial" w:hAnsi="Arial" w:cs="Arial"/>
              <w:b/>
              <w:bCs/>
              <w:sz w:val="32"/>
              <w:szCs w:val="32"/>
            </w:rPr>
            <w:t>C52</w:t>
          </w:r>
        </w:p>
        <w:p w:rsidR="002E0AC1" w:rsidRPr="003C50B9" w:rsidRDefault="002E0AC1" w:rsidP="003C50B9">
          <w:pPr>
            <w:pStyle w:val="Header"/>
            <w:spacing w:after="0" w:line="240" w:lineRule="auto"/>
            <w:rPr>
              <w:rFonts w:ascii="Arial" w:hAnsi="Arial" w:cs="Arial"/>
            </w:rPr>
          </w:pPr>
          <w:r w:rsidRPr="003C50B9">
            <w:rPr>
              <w:rFonts w:ascii="Arial" w:hAnsi="Arial" w:cs="Arial"/>
              <w:sz w:val="32"/>
              <w:szCs w:val="32"/>
            </w:rPr>
            <w:t xml:space="preserve">Direct </w:t>
          </w:r>
          <w:r w:rsidR="00F159F4">
            <w:rPr>
              <w:rFonts w:ascii="Arial" w:hAnsi="Arial" w:cs="Arial"/>
              <w:sz w:val="32"/>
              <w:szCs w:val="32"/>
            </w:rPr>
            <w:t>v</w:t>
          </w:r>
          <w:r w:rsidRPr="003C50B9">
            <w:rPr>
              <w:rFonts w:ascii="Arial" w:hAnsi="Arial" w:cs="Arial"/>
              <w:sz w:val="32"/>
              <w:szCs w:val="32"/>
            </w:rPr>
            <w:t xml:space="preserve">essel </w:t>
          </w:r>
          <w:r w:rsidR="00F159F4">
            <w:rPr>
              <w:rFonts w:ascii="Arial" w:hAnsi="Arial" w:cs="Arial"/>
              <w:sz w:val="32"/>
              <w:szCs w:val="32"/>
            </w:rPr>
            <w:t>e</w:t>
          </w:r>
          <w:r w:rsidRPr="003C50B9">
            <w:rPr>
              <w:rFonts w:ascii="Arial" w:hAnsi="Arial" w:cs="Arial"/>
              <w:sz w:val="32"/>
              <w:szCs w:val="32"/>
            </w:rPr>
            <w:t xml:space="preserve">ngineering </w:t>
          </w:r>
          <w:r w:rsidR="00F159F4">
            <w:rPr>
              <w:rFonts w:ascii="Arial" w:hAnsi="Arial" w:cs="Arial"/>
              <w:sz w:val="32"/>
              <w:szCs w:val="32"/>
            </w:rPr>
            <w:t>o</w:t>
          </w:r>
          <w:r w:rsidRPr="003C50B9">
            <w:rPr>
              <w:rFonts w:ascii="Arial" w:hAnsi="Arial" w:cs="Arial"/>
              <w:sz w:val="32"/>
              <w:szCs w:val="32"/>
            </w:rPr>
            <w:t>perations</w:t>
          </w:r>
        </w:p>
      </w:tc>
      <w:tc>
        <w:tcPr>
          <w:tcW w:w="2616" w:type="dxa"/>
        </w:tcPr>
        <w:p w:rsidR="002E0AC1" w:rsidRDefault="00F159F4" w:rsidP="003C50B9">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2E0AC1" w:rsidRPr="009A1F82" w:rsidRDefault="00A43F39"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7674C53"/>
    <w:multiLevelType w:val="multilevel"/>
    <w:tmpl w:val="BB30CBA0"/>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nsid w:val="508E22BD"/>
    <w:multiLevelType w:val="multilevel"/>
    <w:tmpl w:val="B7944864"/>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6D5141C"/>
    <w:multiLevelType w:val="multilevel"/>
    <w:tmpl w:val="DCA406F2"/>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2"/>
  </w:num>
  <w:num w:numId="4">
    <w:abstractNumId w:val="1"/>
  </w:num>
  <w:num w:numId="5">
    <w:abstractNumId w:val="12"/>
  </w:num>
  <w:num w:numId="6">
    <w:abstractNumId w:val="14"/>
  </w:num>
  <w:num w:numId="7">
    <w:abstractNumId w:val="4"/>
  </w:num>
  <w:num w:numId="8">
    <w:abstractNumId w:val="17"/>
  </w:num>
  <w:num w:numId="9">
    <w:abstractNumId w:val="16"/>
  </w:num>
  <w:num w:numId="10">
    <w:abstractNumId w:val="13"/>
  </w:num>
  <w:num w:numId="11">
    <w:abstractNumId w:val="11"/>
  </w:num>
  <w:num w:numId="12">
    <w:abstractNumId w:val="7"/>
  </w:num>
  <w:num w:numId="13">
    <w:abstractNumId w:val="3"/>
  </w:num>
  <w:num w:numId="14">
    <w:abstractNumId w:val="10"/>
  </w:num>
  <w:num w:numId="15">
    <w:abstractNumId w:val="0"/>
  </w:num>
  <w:num w:numId="16">
    <w:abstractNumId w:val="9"/>
  </w:num>
  <w:num w:numId="17">
    <w:abstractNumId w:val="5"/>
  </w:num>
  <w:num w:numId="18">
    <w:abstractNumId w:val="1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2AEF"/>
    <w:rsid w:val="00004E0E"/>
    <w:rsid w:val="00006091"/>
    <w:rsid w:val="000063C8"/>
    <w:rsid w:val="000076D9"/>
    <w:rsid w:val="00013E41"/>
    <w:rsid w:val="0001420A"/>
    <w:rsid w:val="00015A73"/>
    <w:rsid w:val="00016B9A"/>
    <w:rsid w:val="0002195A"/>
    <w:rsid w:val="00035310"/>
    <w:rsid w:val="0003593E"/>
    <w:rsid w:val="00037526"/>
    <w:rsid w:val="0004792D"/>
    <w:rsid w:val="00051B82"/>
    <w:rsid w:val="000556CF"/>
    <w:rsid w:val="00066CD2"/>
    <w:rsid w:val="00074FC4"/>
    <w:rsid w:val="00077B79"/>
    <w:rsid w:val="00082E3C"/>
    <w:rsid w:val="00084043"/>
    <w:rsid w:val="00085418"/>
    <w:rsid w:val="000867C6"/>
    <w:rsid w:val="00090C19"/>
    <w:rsid w:val="00093E71"/>
    <w:rsid w:val="00096244"/>
    <w:rsid w:val="00096378"/>
    <w:rsid w:val="00096E34"/>
    <w:rsid w:val="000A2920"/>
    <w:rsid w:val="000A30E8"/>
    <w:rsid w:val="000A3533"/>
    <w:rsid w:val="000A5804"/>
    <w:rsid w:val="000B1EFD"/>
    <w:rsid w:val="000B6D40"/>
    <w:rsid w:val="000D38DB"/>
    <w:rsid w:val="000E0A1D"/>
    <w:rsid w:val="000E1A7E"/>
    <w:rsid w:val="0010370F"/>
    <w:rsid w:val="0010479B"/>
    <w:rsid w:val="001103C6"/>
    <w:rsid w:val="00115544"/>
    <w:rsid w:val="00135D10"/>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4E95"/>
    <w:rsid w:val="002063F2"/>
    <w:rsid w:val="00210CE3"/>
    <w:rsid w:val="00212B2D"/>
    <w:rsid w:val="002143B8"/>
    <w:rsid w:val="0021511C"/>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0AC1"/>
    <w:rsid w:val="002E36E7"/>
    <w:rsid w:val="002E3E75"/>
    <w:rsid w:val="002F4B2F"/>
    <w:rsid w:val="002F606F"/>
    <w:rsid w:val="002F647D"/>
    <w:rsid w:val="00303FD8"/>
    <w:rsid w:val="003053CA"/>
    <w:rsid w:val="00310CA1"/>
    <w:rsid w:val="00320442"/>
    <w:rsid w:val="003319D1"/>
    <w:rsid w:val="003413DC"/>
    <w:rsid w:val="00345B06"/>
    <w:rsid w:val="003521D1"/>
    <w:rsid w:val="0036118B"/>
    <w:rsid w:val="003722CD"/>
    <w:rsid w:val="00377DED"/>
    <w:rsid w:val="00380447"/>
    <w:rsid w:val="00387C8A"/>
    <w:rsid w:val="003A293A"/>
    <w:rsid w:val="003B7932"/>
    <w:rsid w:val="003C4768"/>
    <w:rsid w:val="003C50B9"/>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565D0"/>
    <w:rsid w:val="00467D6A"/>
    <w:rsid w:val="00474BDB"/>
    <w:rsid w:val="0047616A"/>
    <w:rsid w:val="004901D8"/>
    <w:rsid w:val="00491F62"/>
    <w:rsid w:val="004971C9"/>
    <w:rsid w:val="00497C87"/>
    <w:rsid w:val="004A57E2"/>
    <w:rsid w:val="004B12F4"/>
    <w:rsid w:val="004B1702"/>
    <w:rsid w:val="004D08DE"/>
    <w:rsid w:val="004D0EEB"/>
    <w:rsid w:val="004D1F3B"/>
    <w:rsid w:val="004D6960"/>
    <w:rsid w:val="004E05F7"/>
    <w:rsid w:val="004E21DC"/>
    <w:rsid w:val="0050084C"/>
    <w:rsid w:val="005027E6"/>
    <w:rsid w:val="005074AA"/>
    <w:rsid w:val="00515426"/>
    <w:rsid w:val="00521BFC"/>
    <w:rsid w:val="0052780A"/>
    <w:rsid w:val="00537E67"/>
    <w:rsid w:val="00540315"/>
    <w:rsid w:val="00540609"/>
    <w:rsid w:val="00545BAC"/>
    <w:rsid w:val="00550971"/>
    <w:rsid w:val="00556342"/>
    <w:rsid w:val="00560DA4"/>
    <w:rsid w:val="00563BF7"/>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2486F"/>
    <w:rsid w:val="0063089C"/>
    <w:rsid w:val="00637642"/>
    <w:rsid w:val="00646A28"/>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D6779"/>
    <w:rsid w:val="006E0E81"/>
    <w:rsid w:val="006E35D0"/>
    <w:rsid w:val="006F0706"/>
    <w:rsid w:val="006F3CA8"/>
    <w:rsid w:val="007017D1"/>
    <w:rsid w:val="007156AF"/>
    <w:rsid w:val="00715D93"/>
    <w:rsid w:val="0071750B"/>
    <w:rsid w:val="00720BFB"/>
    <w:rsid w:val="00724E04"/>
    <w:rsid w:val="00726306"/>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01C4F"/>
    <w:rsid w:val="0082306F"/>
    <w:rsid w:val="00823628"/>
    <w:rsid w:val="0084302D"/>
    <w:rsid w:val="00847EA7"/>
    <w:rsid w:val="00860755"/>
    <w:rsid w:val="008616C3"/>
    <w:rsid w:val="0086259F"/>
    <w:rsid w:val="00862792"/>
    <w:rsid w:val="008642AB"/>
    <w:rsid w:val="00866606"/>
    <w:rsid w:val="008802D9"/>
    <w:rsid w:val="00881EA3"/>
    <w:rsid w:val="008829A1"/>
    <w:rsid w:val="00886A13"/>
    <w:rsid w:val="0089143B"/>
    <w:rsid w:val="00892883"/>
    <w:rsid w:val="008961DA"/>
    <w:rsid w:val="008A0882"/>
    <w:rsid w:val="008A2610"/>
    <w:rsid w:val="008A4462"/>
    <w:rsid w:val="008A4E8E"/>
    <w:rsid w:val="008B04B4"/>
    <w:rsid w:val="008B21FF"/>
    <w:rsid w:val="008B3E91"/>
    <w:rsid w:val="008B472C"/>
    <w:rsid w:val="008C0064"/>
    <w:rsid w:val="008D3C27"/>
    <w:rsid w:val="00901FEF"/>
    <w:rsid w:val="00903200"/>
    <w:rsid w:val="0090468B"/>
    <w:rsid w:val="00904C0B"/>
    <w:rsid w:val="0090729C"/>
    <w:rsid w:val="00910DA5"/>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B7E09"/>
    <w:rsid w:val="009C3304"/>
    <w:rsid w:val="009C3949"/>
    <w:rsid w:val="009D063D"/>
    <w:rsid w:val="009D20A6"/>
    <w:rsid w:val="009D3E57"/>
    <w:rsid w:val="009E742F"/>
    <w:rsid w:val="009F1381"/>
    <w:rsid w:val="009F5881"/>
    <w:rsid w:val="009F7CB5"/>
    <w:rsid w:val="00A10E28"/>
    <w:rsid w:val="00A125F1"/>
    <w:rsid w:val="00A13C08"/>
    <w:rsid w:val="00A43F39"/>
    <w:rsid w:val="00A560A0"/>
    <w:rsid w:val="00A664B3"/>
    <w:rsid w:val="00A73B2E"/>
    <w:rsid w:val="00A910A6"/>
    <w:rsid w:val="00A92AB5"/>
    <w:rsid w:val="00A9731F"/>
    <w:rsid w:val="00AA411C"/>
    <w:rsid w:val="00AB493E"/>
    <w:rsid w:val="00AB7B1B"/>
    <w:rsid w:val="00AC5EE5"/>
    <w:rsid w:val="00AE57EF"/>
    <w:rsid w:val="00AF0E6E"/>
    <w:rsid w:val="00B11396"/>
    <w:rsid w:val="00B15A0B"/>
    <w:rsid w:val="00B165CE"/>
    <w:rsid w:val="00B4020E"/>
    <w:rsid w:val="00B51DAF"/>
    <w:rsid w:val="00B5446B"/>
    <w:rsid w:val="00B652FB"/>
    <w:rsid w:val="00B73F65"/>
    <w:rsid w:val="00B82F94"/>
    <w:rsid w:val="00B9514C"/>
    <w:rsid w:val="00BA174C"/>
    <w:rsid w:val="00BA2445"/>
    <w:rsid w:val="00BC5E81"/>
    <w:rsid w:val="00BD3607"/>
    <w:rsid w:val="00BE436E"/>
    <w:rsid w:val="00BF12E9"/>
    <w:rsid w:val="00BF663F"/>
    <w:rsid w:val="00C077DD"/>
    <w:rsid w:val="00C12BFA"/>
    <w:rsid w:val="00C20B78"/>
    <w:rsid w:val="00C241A2"/>
    <w:rsid w:val="00C2528F"/>
    <w:rsid w:val="00C327DC"/>
    <w:rsid w:val="00C372A8"/>
    <w:rsid w:val="00C617B3"/>
    <w:rsid w:val="00C64D0F"/>
    <w:rsid w:val="00C717B8"/>
    <w:rsid w:val="00C73990"/>
    <w:rsid w:val="00C758AA"/>
    <w:rsid w:val="00C77C64"/>
    <w:rsid w:val="00C80E62"/>
    <w:rsid w:val="00C92654"/>
    <w:rsid w:val="00C94311"/>
    <w:rsid w:val="00CA0B7E"/>
    <w:rsid w:val="00CA0BEC"/>
    <w:rsid w:val="00CA3700"/>
    <w:rsid w:val="00CC2785"/>
    <w:rsid w:val="00CF4D98"/>
    <w:rsid w:val="00D03896"/>
    <w:rsid w:val="00D10F43"/>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4589E"/>
    <w:rsid w:val="00E569AA"/>
    <w:rsid w:val="00E664BC"/>
    <w:rsid w:val="00E66529"/>
    <w:rsid w:val="00E80A62"/>
    <w:rsid w:val="00EB50D3"/>
    <w:rsid w:val="00EC19B3"/>
    <w:rsid w:val="00EC1AA4"/>
    <w:rsid w:val="00EC71A9"/>
    <w:rsid w:val="00ED4338"/>
    <w:rsid w:val="00EE5D4B"/>
    <w:rsid w:val="00F02CCD"/>
    <w:rsid w:val="00F129CF"/>
    <w:rsid w:val="00F152BB"/>
    <w:rsid w:val="00F159F4"/>
    <w:rsid w:val="00F2327D"/>
    <w:rsid w:val="00F25CCF"/>
    <w:rsid w:val="00F2717E"/>
    <w:rsid w:val="00F307E2"/>
    <w:rsid w:val="00F353EE"/>
    <w:rsid w:val="00F404FC"/>
    <w:rsid w:val="00F4296C"/>
    <w:rsid w:val="00F45010"/>
    <w:rsid w:val="00F45348"/>
    <w:rsid w:val="00F51D3F"/>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 w:val="00FF178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495684496">
      <w:marLeft w:val="0"/>
      <w:marRight w:val="0"/>
      <w:marTop w:val="0"/>
      <w:marBottom w:val="0"/>
      <w:divBdr>
        <w:top w:val="none" w:sz="0" w:space="0" w:color="auto"/>
        <w:left w:val="none" w:sz="0" w:space="0" w:color="auto"/>
        <w:bottom w:val="none" w:sz="0" w:space="0" w:color="auto"/>
        <w:right w:val="none" w:sz="0" w:space="0" w:color="auto"/>
      </w:divBdr>
    </w:div>
    <w:div w:id="1495684497">
      <w:marLeft w:val="0"/>
      <w:marRight w:val="0"/>
      <w:marTop w:val="0"/>
      <w:marBottom w:val="0"/>
      <w:divBdr>
        <w:top w:val="none" w:sz="0" w:space="0" w:color="auto"/>
        <w:left w:val="none" w:sz="0" w:space="0" w:color="auto"/>
        <w:bottom w:val="none" w:sz="0" w:space="0" w:color="auto"/>
        <w:right w:val="none" w:sz="0" w:space="0" w:color="auto"/>
      </w:divBdr>
    </w:div>
    <w:div w:id="1495684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475</Words>
  <Characters>2856</Characters>
  <Application>Microsoft Office Word</Application>
  <DocSecurity>0</DocSecurity>
  <Lines>23</Lines>
  <Paragraphs>6</Paragraphs>
  <ScaleCrop>false</ScaleCrop>
  <Company>UK Commission for Employment and Skills</Company>
  <LinksUpToDate>false</LinksUpToDate>
  <CharactersWithSpaces>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2011-11-15T11:45:00Z</dcterms:created>
  <dcterms:modified xsi:type="dcterms:W3CDTF">2012-02-23T15:10:00Z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