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B40211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7C0D30" w:rsidRDefault="007C0D30" w:rsidP="007C0D3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contribute to the loading and discharge of vessels. The loading and discharge can be of non-liquid and/or bulk liquid cargo.</w:t>
            </w:r>
          </w:p>
          <w:p w:rsidR="007C0D30" w:rsidRDefault="007C0D30" w:rsidP="007C0D3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783353" w:rsidRPr="00783353" w:rsidRDefault="00783353" w:rsidP="007C0D30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7C0D30" w:rsidRDefault="007C0D30" w:rsidP="007C0D3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 xml:space="preserve">This standard applies to individuals at the support level with responsibility for supporting the loading and discharging vessels in inland </w:t>
            </w:r>
            <w:r w:rsidR="00783353">
              <w:t xml:space="preserve">and coastal </w:t>
            </w:r>
            <w:r>
              <w:t>waters.</w:t>
            </w:r>
          </w:p>
          <w:p w:rsidR="007C0D30" w:rsidRDefault="007C0D30" w:rsidP="007C0D3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783353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B40211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1C0C93" w:rsidRDefault="001C0C93" w:rsidP="001C0C93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1C0C93" w:rsidRDefault="001C0C93" w:rsidP="001C0C93">
            <w:pPr>
              <w:pStyle w:val="NOSBodyHeading"/>
              <w:spacing w:line="276" w:lineRule="auto"/>
              <w:rPr>
                <w:b w:val="0"/>
              </w:rPr>
            </w:pPr>
          </w:p>
          <w:p w:rsidR="001C0C93" w:rsidRDefault="001C0C93" w:rsidP="001C0C93">
            <w:pPr>
              <w:pStyle w:val="NOSBodyHeading"/>
              <w:spacing w:line="276" w:lineRule="auto"/>
              <w:rPr>
                <w:b w:val="0"/>
              </w:rPr>
            </w:pPr>
          </w:p>
          <w:p w:rsidR="001C0C93" w:rsidRPr="001B0A7B" w:rsidRDefault="00783353" w:rsidP="001C0C9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1C0C93">
              <w:rPr>
                <w:b w:val="0"/>
              </w:rPr>
              <w:t>dentify the load to be moved, and agree the method for loading/discharging the vessel</w:t>
            </w:r>
          </w:p>
          <w:p w:rsidR="001C0C93" w:rsidRPr="001B0A7B" w:rsidRDefault="00783353" w:rsidP="001C0C9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1C0C93">
              <w:rPr>
                <w:b w:val="0"/>
              </w:rPr>
              <w:t>dentify and prepare relevant equipment correctly, in line with appropriate operating and safety procedures</w:t>
            </w:r>
          </w:p>
          <w:p w:rsidR="001C0C93" w:rsidRPr="001B0A7B" w:rsidRDefault="00783353" w:rsidP="001C0C9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1C0C93">
              <w:rPr>
                <w:b w:val="0"/>
              </w:rPr>
              <w:t>onfirm that all relevant equipment is in working order, reporting promptly any faults to the relevant person</w:t>
            </w:r>
          </w:p>
          <w:p w:rsidR="001C0C93" w:rsidRPr="001B0A7B" w:rsidRDefault="00783353" w:rsidP="001C0C9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o</w:t>
            </w:r>
            <w:r w:rsidR="001C0C93">
              <w:rPr>
                <w:b w:val="0"/>
              </w:rPr>
              <w:t>perate loading, discharge and associated lifting equipment safely and according to operating instructions</w:t>
            </w:r>
          </w:p>
          <w:p w:rsidR="001C0C93" w:rsidRPr="001B0A7B" w:rsidRDefault="00783353" w:rsidP="001C0C9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1C0C93">
              <w:rPr>
                <w:b w:val="0"/>
              </w:rPr>
              <w:t>ndertake any required signalling and slinging correctly and safely</w:t>
            </w:r>
          </w:p>
          <w:p w:rsidR="001C0C93" w:rsidRPr="001B0A7B" w:rsidRDefault="00783353" w:rsidP="001C0C9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1C0C93">
              <w:rPr>
                <w:b w:val="0"/>
              </w:rPr>
              <w:t>arry out the loading/discharge operations according to the agreed procedures</w:t>
            </w:r>
          </w:p>
          <w:p w:rsidR="001C0C93" w:rsidRPr="001B0A7B" w:rsidRDefault="00783353" w:rsidP="001C0C9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1C0C93">
              <w:rPr>
                <w:b w:val="0"/>
              </w:rPr>
              <w:t>djust vessel moorings during loading and discharge when appropriate</w:t>
            </w:r>
          </w:p>
          <w:p w:rsidR="001C0C93" w:rsidRPr="001B0A7B" w:rsidRDefault="00783353" w:rsidP="001C0C9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</w:t>
            </w:r>
            <w:r w:rsidR="001C0C93">
              <w:rPr>
                <w:b w:val="0"/>
              </w:rPr>
              <w:t>hut down and secure correctly all equipment upon completion</w:t>
            </w:r>
          </w:p>
          <w:p w:rsidR="003C6D88" w:rsidRPr="001B0A7B" w:rsidRDefault="00783353" w:rsidP="001C0C9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f</w:t>
            </w:r>
            <w:r w:rsidR="001C0C93">
              <w:rPr>
                <w:b w:val="0"/>
              </w:rPr>
              <w:t>ollow safe working practices at all times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B40211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020F1E" w:rsidRDefault="00020F1E" w:rsidP="00020F1E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020F1E" w:rsidRDefault="00020F1E" w:rsidP="00020F1E">
            <w:pPr>
              <w:pStyle w:val="NOSBodyHeading"/>
              <w:spacing w:line="276" w:lineRule="auto"/>
              <w:rPr>
                <w:b w:val="0"/>
              </w:rPr>
            </w:pPr>
          </w:p>
          <w:p w:rsidR="00020F1E" w:rsidRDefault="00020F1E" w:rsidP="00020F1E">
            <w:pPr>
              <w:pStyle w:val="NOSBodyHeading"/>
              <w:spacing w:line="276" w:lineRule="auto"/>
              <w:rPr>
                <w:b w:val="0"/>
              </w:rPr>
            </w:pPr>
          </w:p>
          <w:p w:rsidR="00020F1E" w:rsidRPr="001B0A7B" w:rsidRDefault="00783353" w:rsidP="00020F1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20F1E">
              <w:rPr>
                <w:b w:val="0"/>
              </w:rPr>
              <w:t>he requirements appropriate to your operations arising from legislation and codes of practice relevant to the loading and discharge of vessels</w:t>
            </w:r>
          </w:p>
          <w:p w:rsidR="00020F1E" w:rsidRPr="001B0A7B" w:rsidRDefault="00783353" w:rsidP="00020F1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</w:t>
            </w:r>
            <w:r w:rsidR="00020F1E">
              <w:rPr>
                <w:b w:val="0"/>
              </w:rPr>
              <w:t>afe  working  practices  to  be  observed  when  loading  and  discharging  vessels, including relevant lifting operations and the adjustments of moorings</w:t>
            </w:r>
          </w:p>
          <w:p w:rsidR="00020F1E" w:rsidRPr="001B0A7B" w:rsidRDefault="00783353" w:rsidP="00020F1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020F1E">
              <w:rPr>
                <w:b w:val="0"/>
              </w:rPr>
              <w:t>ow to operate deck and other equipment involved in loading/discharging operations</w:t>
            </w:r>
          </w:p>
          <w:p w:rsidR="00020F1E" w:rsidRPr="001B0A7B" w:rsidRDefault="00783353" w:rsidP="00020F1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l</w:t>
            </w:r>
            <w:r w:rsidR="00020F1E">
              <w:rPr>
                <w:b w:val="0"/>
              </w:rPr>
              <w:t>oad handling and slinging methods</w:t>
            </w:r>
          </w:p>
          <w:p w:rsidR="00020F1E" w:rsidRPr="001B0A7B" w:rsidRDefault="00783353" w:rsidP="00020F1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20F1E">
              <w:rPr>
                <w:b w:val="0"/>
              </w:rPr>
              <w:t>he different classifications of dangerous goods</w:t>
            </w:r>
          </w:p>
          <w:p w:rsidR="00020F1E" w:rsidRPr="001B0A7B" w:rsidRDefault="00783353" w:rsidP="00020F1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20F1E">
              <w:rPr>
                <w:b w:val="0"/>
              </w:rPr>
              <w:t>he importance of clear communication, and how to do this</w:t>
            </w:r>
          </w:p>
          <w:p w:rsidR="00020F1E" w:rsidRPr="001B0A7B" w:rsidRDefault="00783353" w:rsidP="00020F1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y</w:t>
            </w:r>
            <w:r w:rsidR="00020F1E">
              <w:rPr>
                <w:b w:val="0"/>
              </w:rPr>
              <w:t>our  vessel  construction  and  operational  characteristics  relevant  to  loading  and discharge operations</w:t>
            </w:r>
          </w:p>
          <w:p w:rsidR="00020F1E" w:rsidRPr="001B0A7B" w:rsidRDefault="00783353" w:rsidP="00020F1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020F1E">
              <w:rPr>
                <w:b w:val="0"/>
              </w:rPr>
              <w:t>he correct terminology and use of instructions when loading and discharging vessels</w:t>
            </w:r>
          </w:p>
          <w:p w:rsidR="00006091" w:rsidRPr="001B0A7B" w:rsidRDefault="00783353" w:rsidP="00020F1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020F1E">
              <w:rPr>
                <w:b w:val="0"/>
              </w:rPr>
              <w:t>rocedures for dealing with emergencies when loading and discharging vessels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783353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40211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783353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4021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414787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B4021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414787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4021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A02F63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4021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A02F63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B4021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783353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4021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414787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>MSA B34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B4021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A02F63" w:rsidP="001F6BF7">
            <w:pPr>
              <w:pStyle w:val="NOSBodyText"/>
              <w:rPr>
                <w:color w:val="221E1F"/>
              </w:rPr>
            </w:pPr>
            <w:bookmarkStart w:id="25" w:name="StartOccupations"/>
            <w:bookmarkEnd w:id="25"/>
            <w:r>
              <w:rPr>
                <w:color w:val="221E1F"/>
              </w:rPr>
              <w:t>Transportation operations and maintenance; Managers in Distribution, Storage and Retailing; Transport Associate Professionals</w:t>
            </w:r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  <w:bookmarkStart w:id="26" w:name="End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4021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AB79B5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B40211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A02F63" w:rsidP="00690067">
            <w:pPr>
              <w:pStyle w:val="NOSBodyText"/>
              <w:rPr>
                <w:color w:val="221E1F"/>
              </w:rPr>
            </w:pPr>
            <w:bookmarkStart w:id="29" w:name="StartKeywords"/>
            <w:bookmarkEnd w:id="29"/>
            <w:r>
              <w:rPr>
                <w:color w:val="221E1F"/>
              </w:rPr>
              <w:t>vessel, load, discharge, non-liquid, bulk-liquid, cargo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0" w:name="EndKeywords"/>
            <w:bookmarkEnd w:id="30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414787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414787">
      <w:rPr>
        <w:rFonts w:ascii="Arial" w:eastAsiaTheme="minorHAnsi" w:hAnsi="Arial" w:cs="Arial"/>
        <w:noProof/>
        <w:sz w:val="14"/>
        <w:szCs w:val="14"/>
      </w:rPr>
      <w:t>MSA B34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414787">
      <w:rPr>
        <w:rFonts w:ascii="Arial" w:eastAsiaTheme="minorHAnsi" w:hAnsi="Arial" w:cs="Arial"/>
        <w:noProof/>
        <w:sz w:val="14"/>
        <w:szCs w:val="14"/>
      </w:rPr>
      <w:t>Contribute to vessel loading and discharge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B40211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B40211" w:rsidRPr="008C0064">
      <w:rPr>
        <w:rFonts w:ascii="Arial" w:hAnsi="Arial" w:cs="Arial"/>
        <w:sz w:val="14"/>
        <w:szCs w:val="14"/>
      </w:rPr>
      <w:fldChar w:fldCharType="separate"/>
    </w:r>
    <w:r w:rsidR="00FD4B9F">
      <w:rPr>
        <w:rFonts w:ascii="Arial" w:hAnsi="Arial" w:cs="Arial"/>
        <w:noProof/>
        <w:sz w:val="14"/>
        <w:szCs w:val="14"/>
      </w:rPr>
      <w:t>4</w:t>
    </w:r>
    <w:r w:rsidR="00B40211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414787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414787">
      <w:rPr>
        <w:rFonts w:ascii="Arial" w:eastAsiaTheme="minorHAnsi" w:hAnsi="Arial" w:cs="Arial"/>
        <w:noProof/>
        <w:sz w:val="14"/>
        <w:szCs w:val="14"/>
      </w:rPr>
      <w:t>MSA B34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414787">
      <w:rPr>
        <w:rFonts w:ascii="Arial" w:eastAsiaTheme="minorHAnsi" w:hAnsi="Arial" w:cs="Arial"/>
        <w:noProof/>
        <w:sz w:val="14"/>
        <w:szCs w:val="14"/>
      </w:rPr>
      <w:t>Contribute to vessel loading and discharge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B40211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B40211" w:rsidRPr="008C0064">
      <w:rPr>
        <w:rFonts w:ascii="Arial" w:hAnsi="Arial" w:cs="Arial"/>
        <w:sz w:val="14"/>
        <w:szCs w:val="14"/>
      </w:rPr>
      <w:fldChar w:fldCharType="separate"/>
    </w:r>
    <w:r w:rsidR="00FD4B9F">
      <w:rPr>
        <w:rFonts w:ascii="Arial" w:hAnsi="Arial" w:cs="Arial"/>
        <w:noProof/>
        <w:sz w:val="14"/>
        <w:szCs w:val="14"/>
      </w:rPr>
      <w:t>1</w:t>
    </w:r>
    <w:r w:rsidR="00B40211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B40211" w:rsidP="002063F2">
    <w:pPr>
      <w:tabs>
        <w:tab w:val="left" w:pos="7140"/>
      </w:tabs>
    </w:pPr>
    <w:r w:rsidRPr="00B40211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826D1E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783353">
      <w:rPr>
        <w:rFonts w:ascii="Arial" w:eastAsiaTheme="minorHAnsi" w:hAnsi="Arial" w:cs="Arial"/>
        <w:b/>
        <w:noProof/>
        <w:sz w:val="32"/>
        <w:szCs w:val="32"/>
      </w:rPr>
      <w:t>B34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7C0D30">
      <w:rPr>
        <w:rFonts w:ascii="Arial" w:eastAsiaTheme="minorHAnsi" w:hAnsi="Arial" w:cs="Arial"/>
        <w:noProof/>
        <w:sz w:val="32"/>
        <w:szCs w:val="32"/>
      </w:rPr>
      <w:t>Contribute to vessel loading and discharge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826D1E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783353">
            <w:rPr>
              <w:rFonts w:ascii="Arial" w:hAnsi="Arial" w:cs="Arial"/>
              <w:b/>
              <w:sz w:val="32"/>
              <w:szCs w:val="32"/>
            </w:rPr>
            <w:t>B34</w:t>
          </w:r>
        </w:p>
        <w:p w:rsidR="009A1F82" w:rsidRPr="00DF70EE" w:rsidRDefault="007C0D30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Contribute to vessel loading and discharge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B40211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E3760"/>
    <w:multiLevelType w:val="multilevel"/>
    <w:tmpl w:val="A3928EF2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317C3"/>
    <w:multiLevelType w:val="multilevel"/>
    <w:tmpl w:val="D736AAFA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DC15017"/>
    <w:multiLevelType w:val="multilevel"/>
    <w:tmpl w:val="D0284BDE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11"/>
  </w:num>
  <w:num w:numId="6">
    <w:abstractNumId w:val="13"/>
  </w:num>
  <w:num w:numId="7">
    <w:abstractNumId w:val="4"/>
  </w:num>
  <w:num w:numId="8">
    <w:abstractNumId w:val="17"/>
  </w:num>
  <w:num w:numId="9">
    <w:abstractNumId w:val="16"/>
  </w:num>
  <w:num w:numId="10">
    <w:abstractNumId w:val="12"/>
  </w:num>
  <w:num w:numId="11">
    <w:abstractNumId w:val="10"/>
  </w:num>
  <w:num w:numId="12">
    <w:abstractNumId w:val="7"/>
  </w:num>
  <w:num w:numId="13">
    <w:abstractNumId w:val="3"/>
  </w:num>
  <w:num w:numId="14">
    <w:abstractNumId w:val="9"/>
  </w:num>
  <w:num w:numId="15">
    <w:abstractNumId w:val="0"/>
  </w:num>
  <w:num w:numId="16">
    <w:abstractNumId w:val="15"/>
  </w:num>
  <w:num w:numId="17">
    <w:abstractNumId w:val="14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0F1E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12E0"/>
    <w:rsid w:val="000D38DB"/>
    <w:rsid w:val="000D5C80"/>
    <w:rsid w:val="000E0A1D"/>
    <w:rsid w:val="000E1A7E"/>
    <w:rsid w:val="0010370F"/>
    <w:rsid w:val="0010479B"/>
    <w:rsid w:val="001103C6"/>
    <w:rsid w:val="00115544"/>
    <w:rsid w:val="001240D2"/>
    <w:rsid w:val="0013639C"/>
    <w:rsid w:val="00160994"/>
    <w:rsid w:val="0016238F"/>
    <w:rsid w:val="001634E2"/>
    <w:rsid w:val="00173AEB"/>
    <w:rsid w:val="00176E82"/>
    <w:rsid w:val="00181052"/>
    <w:rsid w:val="00185673"/>
    <w:rsid w:val="00194432"/>
    <w:rsid w:val="001A1D0C"/>
    <w:rsid w:val="001A306E"/>
    <w:rsid w:val="001B06EE"/>
    <w:rsid w:val="001B0A7B"/>
    <w:rsid w:val="001B0BA6"/>
    <w:rsid w:val="001B27F0"/>
    <w:rsid w:val="001B31A1"/>
    <w:rsid w:val="001B7A7F"/>
    <w:rsid w:val="001C0C93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77FED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02BF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A707D"/>
    <w:rsid w:val="003B7932"/>
    <w:rsid w:val="003C4768"/>
    <w:rsid w:val="003C6974"/>
    <w:rsid w:val="003C6D88"/>
    <w:rsid w:val="003D3486"/>
    <w:rsid w:val="003D524D"/>
    <w:rsid w:val="003D7EF3"/>
    <w:rsid w:val="003E2694"/>
    <w:rsid w:val="003F3ABC"/>
    <w:rsid w:val="003F7686"/>
    <w:rsid w:val="00401539"/>
    <w:rsid w:val="004103D1"/>
    <w:rsid w:val="0041273C"/>
    <w:rsid w:val="00414787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803E2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2416D"/>
    <w:rsid w:val="0063089C"/>
    <w:rsid w:val="00637642"/>
    <w:rsid w:val="00647493"/>
    <w:rsid w:val="006505B2"/>
    <w:rsid w:val="00661511"/>
    <w:rsid w:val="0066162E"/>
    <w:rsid w:val="006714C6"/>
    <w:rsid w:val="0067241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E6BA6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3353"/>
    <w:rsid w:val="00785D30"/>
    <w:rsid w:val="00791C53"/>
    <w:rsid w:val="007A13ED"/>
    <w:rsid w:val="007B0672"/>
    <w:rsid w:val="007C0D30"/>
    <w:rsid w:val="007C232F"/>
    <w:rsid w:val="007C7DC5"/>
    <w:rsid w:val="007D3CB0"/>
    <w:rsid w:val="007D52B7"/>
    <w:rsid w:val="007E7D16"/>
    <w:rsid w:val="007F623D"/>
    <w:rsid w:val="0082306F"/>
    <w:rsid w:val="00823628"/>
    <w:rsid w:val="00826D1E"/>
    <w:rsid w:val="0084302D"/>
    <w:rsid w:val="00846E28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06E8"/>
    <w:rsid w:val="0089143B"/>
    <w:rsid w:val="00892883"/>
    <w:rsid w:val="008961DA"/>
    <w:rsid w:val="00897822"/>
    <w:rsid w:val="008A2610"/>
    <w:rsid w:val="008A4462"/>
    <w:rsid w:val="008A4E8E"/>
    <w:rsid w:val="008B04B4"/>
    <w:rsid w:val="008B21FF"/>
    <w:rsid w:val="008B3E91"/>
    <w:rsid w:val="008B472C"/>
    <w:rsid w:val="008C0064"/>
    <w:rsid w:val="008C259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59F2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B53D2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02F63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B493E"/>
    <w:rsid w:val="00AB79B5"/>
    <w:rsid w:val="00AB7B1B"/>
    <w:rsid w:val="00AC5EE5"/>
    <w:rsid w:val="00AE57EF"/>
    <w:rsid w:val="00B15A0B"/>
    <w:rsid w:val="00B165CE"/>
    <w:rsid w:val="00B4020E"/>
    <w:rsid w:val="00B40211"/>
    <w:rsid w:val="00B51DAF"/>
    <w:rsid w:val="00B5446B"/>
    <w:rsid w:val="00B652FB"/>
    <w:rsid w:val="00B73F65"/>
    <w:rsid w:val="00B82F94"/>
    <w:rsid w:val="00B9514C"/>
    <w:rsid w:val="00BA174C"/>
    <w:rsid w:val="00BA2445"/>
    <w:rsid w:val="00BB651A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0B8F"/>
    <w:rsid w:val="00C617B3"/>
    <w:rsid w:val="00C717B8"/>
    <w:rsid w:val="00C7318B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792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47112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329F"/>
    <w:rsid w:val="00F353EE"/>
    <w:rsid w:val="00F404FC"/>
    <w:rsid w:val="00F4296C"/>
    <w:rsid w:val="00F430AC"/>
    <w:rsid w:val="00F45010"/>
    <w:rsid w:val="00F45348"/>
    <w:rsid w:val="00F656FD"/>
    <w:rsid w:val="00F7043F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4B9F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0"/>
        <o:r id="V:Rule14" type="connector" idref="#_x0000_s1048"/>
        <o:r id="V:Rule15" type="connector" idref="#_x0000_s1039"/>
        <o:r id="V:Rule16" type="connector" idref="#_x0000_s1041"/>
        <o:r id="V:Rule17" type="connector" idref="#_x0000_s1043"/>
        <o:r id="V:Rule18" type="connector" idref="#_x0000_s1047"/>
        <o:r id="V:Rule19" type="connector" idref="#_x0000_s1042"/>
        <o:r id="V:Rule20" type="connector" idref="#_x0000_s1045"/>
        <o:r id="V:Rule21" type="connector" idref="#_x0000_s1044"/>
        <o:r id="V:Rule22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80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3E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3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0430AB"/>
    <w:rsid w:val="001208DE"/>
    <w:rsid w:val="00131242"/>
    <w:rsid w:val="00282F70"/>
    <w:rsid w:val="002C46EF"/>
    <w:rsid w:val="00366428"/>
    <w:rsid w:val="00401C66"/>
    <w:rsid w:val="00462417"/>
    <w:rsid w:val="004A3558"/>
    <w:rsid w:val="0052742E"/>
    <w:rsid w:val="0053637E"/>
    <w:rsid w:val="00567979"/>
    <w:rsid w:val="005B7907"/>
    <w:rsid w:val="00691D82"/>
    <w:rsid w:val="006D37C5"/>
    <w:rsid w:val="00752FD9"/>
    <w:rsid w:val="008777D8"/>
    <w:rsid w:val="008960EC"/>
    <w:rsid w:val="008B5E4D"/>
    <w:rsid w:val="008E48B5"/>
    <w:rsid w:val="009D0A55"/>
    <w:rsid w:val="00A4744A"/>
    <w:rsid w:val="00A82C34"/>
    <w:rsid w:val="00B37502"/>
    <w:rsid w:val="00C844BE"/>
    <w:rsid w:val="00CE1085"/>
    <w:rsid w:val="00E172CF"/>
    <w:rsid w:val="00E62584"/>
    <w:rsid w:val="00EC63D3"/>
    <w:rsid w:val="00F036A0"/>
    <w:rsid w:val="00FB606E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B63A5-83EB-47A7-8B89-028F174D9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4A030F-0084-4D52-A29B-071009B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5</cp:revision>
  <dcterms:created xsi:type="dcterms:W3CDTF">2011-10-13T14:07:00Z</dcterms:created>
  <dcterms:modified xsi:type="dcterms:W3CDTF">2012-02-23T14:15:00Z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