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A84AB5"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427CAF" w:rsidRDefault="00427CAF" w:rsidP="00427CAF">
            <w:pPr>
              <w:pStyle w:val="NOSNumberList"/>
              <w:numPr>
                <w:ilvl w:val="0"/>
                <w:numId w:val="0"/>
              </w:numPr>
              <w:spacing w:line="276" w:lineRule="exact"/>
            </w:pPr>
            <w:bookmarkStart w:id="1" w:name="StartOverview"/>
            <w:bookmarkEnd w:id="1"/>
            <w:r>
              <w:t>This standard defines the competence required to contribute to an engine room watch by providing assistance to the engineering officer of the watch by taking over and handing over to other persons and keeping watch.</w:t>
            </w:r>
          </w:p>
          <w:p w:rsidR="00427CAF" w:rsidRDefault="00427CAF" w:rsidP="00427CAF">
            <w:pPr>
              <w:pStyle w:val="NOSNumberList"/>
              <w:numPr>
                <w:ilvl w:val="0"/>
                <w:numId w:val="0"/>
              </w:numPr>
              <w:spacing w:line="276" w:lineRule="exact"/>
            </w:pPr>
          </w:p>
          <w:p w:rsidR="00427CAF" w:rsidRDefault="00427CAF" w:rsidP="00427CAF">
            <w:pPr>
              <w:pStyle w:val="NOSNumberList"/>
              <w:numPr>
                <w:ilvl w:val="0"/>
                <w:numId w:val="0"/>
              </w:numPr>
              <w:spacing w:line="276" w:lineRule="exact"/>
            </w:pPr>
            <w:r>
              <w:t>It includes carrying out routine watch-keeping duties, maintaining the operation of the machinery and safety of the engine-room and the vessel under instruction of the officer of the watch. The officer of the watch may also assign non-routine duties to the individual.</w:t>
            </w:r>
          </w:p>
          <w:p w:rsidR="00427CAF" w:rsidRDefault="00427CAF" w:rsidP="00427CAF">
            <w:pPr>
              <w:pStyle w:val="NOSNumberList"/>
              <w:numPr>
                <w:ilvl w:val="0"/>
                <w:numId w:val="0"/>
              </w:numPr>
              <w:spacing w:line="276" w:lineRule="exact"/>
            </w:pPr>
          </w:p>
          <w:p w:rsidR="00936435" w:rsidRPr="00936435" w:rsidRDefault="00936435" w:rsidP="00427CAF">
            <w:pPr>
              <w:pStyle w:val="NOSNumberList"/>
              <w:numPr>
                <w:ilvl w:val="0"/>
                <w:numId w:val="0"/>
              </w:numPr>
              <w:spacing w:line="276" w:lineRule="exact"/>
              <w:rPr>
                <w:b/>
              </w:rPr>
            </w:pPr>
            <w:r>
              <w:rPr>
                <w:b/>
              </w:rPr>
              <w:t>Target Group</w:t>
            </w:r>
          </w:p>
          <w:p w:rsidR="007F16B8" w:rsidRDefault="00427CAF" w:rsidP="007F16B8">
            <w:pPr>
              <w:pStyle w:val="NOSNumberList"/>
              <w:numPr>
                <w:ilvl w:val="0"/>
                <w:numId w:val="0"/>
              </w:numPr>
              <w:spacing w:line="276" w:lineRule="exact"/>
            </w:pPr>
            <w:r>
              <w:t xml:space="preserve">This standard applies to individuals at a support level in manned engine-rooms and to individuals at a support level designated to perform duties in a periodically unmanned engine room, </w:t>
            </w:r>
            <w:r w:rsidR="007F16B8">
              <w:t>on vessels of any type and of any registered power.</w:t>
            </w:r>
          </w:p>
          <w:p w:rsidR="00427CAF" w:rsidRDefault="00427CAF" w:rsidP="00427CAF">
            <w:pPr>
              <w:pStyle w:val="NOSNumberList"/>
              <w:numPr>
                <w:ilvl w:val="0"/>
                <w:numId w:val="0"/>
              </w:numPr>
              <w:spacing w:line="276" w:lineRule="exact"/>
            </w:pPr>
          </w:p>
          <w:p w:rsidR="00EE5D4B" w:rsidRDefault="00EE5D4B" w:rsidP="00427CAF">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A84AB5"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9A4CF7" w:rsidRDefault="009A4CF7" w:rsidP="009A4CF7">
            <w:pPr>
              <w:pStyle w:val="NOSBodyHeading"/>
              <w:spacing w:line="276" w:lineRule="auto"/>
              <w:rPr>
                <w:b w:val="0"/>
              </w:rPr>
            </w:pPr>
            <w:bookmarkStart w:id="4" w:name="StartPerformance"/>
            <w:bookmarkEnd w:id="4"/>
          </w:p>
          <w:p w:rsidR="009A4CF7" w:rsidRDefault="009A4CF7" w:rsidP="009A4CF7">
            <w:pPr>
              <w:pStyle w:val="NOSBodyHeading"/>
              <w:spacing w:line="276" w:lineRule="auto"/>
              <w:rPr>
                <w:b w:val="0"/>
              </w:rPr>
            </w:pPr>
          </w:p>
          <w:p w:rsidR="009A4CF7" w:rsidRDefault="009A4CF7" w:rsidP="009A4CF7">
            <w:pPr>
              <w:pStyle w:val="NOSBodyHeading"/>
              <w:spacing w:line="276" w:lineRule="auto"/>
              <w:rPr>
                <w:b w:val="0"/>
              </w:rPr>
            </w:pPr>
          </w:p>
          <w:p w:rsidR="009A4CF7" w:rsidRPr="001B0A7B" w:rsidRDefault="00936435" w:rsidP="009A4CF7">
            <w:pPr>
              <w:pStyle w:val="NOSBodyHeading"/>
              <w:numPr>
                <w:ilvl w:val="0"/>
                <w:numId w:val="17"/>
              </w:numPr>
              <w:spacing w:line="276" w:lineRule="auto"/>
              <w:rPr>
                <w:b w:val="0"/>
              </w:rPr>
            </w:pPr>
            <w:r>
              <w:rPr>
                <w:b w:val="0"/>
              </w:rPr>
              <w:t>r</w:t>
            </w:r>
            <w:r w:rsidR="009A4CF7">
              <w:rPr>
                <w:b w:val="0"/>
              </w:rPr>
              <w:t>elieve, maintain and handover the watch in accordance with laid down practices and procedures and established safety rules and regulations</w:t>
            </w:r>
          </w:p>
          <w:p w:rsidR="009A4CF7" w:rsidRPr="001B0A7B" w:rsidRDefault="00936435" w:rsidP="009A4CF7">
            <w:pPr>
              <w:pStyle w:val="NOSBodyHeading"/>
              <w:numPr>
                <w:ilvl w:val="0"/>
                <w:numId w:val="17"/>
              </w:numPr>
              <w:spacing w:line="276" w:lineRule="auto"/>
              <w:rPr>
                <w:b w:val="0"/>
              </w:rPr>
            </w:pPr>
            <w:r>
              <w:rPr>
                <w:b w:val="0"/>
              </w:rPr>
              <w:t>c</w:t>
            </w:r>
            <w:r w:rsidR="009A4CF7">
              <w:rPr>
                <w:b w:val="0"/>
              </w:rPr>
              <w:t>onfirm the condition of the machinery on assuming the watch and any non- routine duties to be carried out</w:t>
            </w:r>
          </w:p>
          <w:p w:rsidR="009A4CF7" w:rsidRPr="001B0A7B" w:rsidRDefault="00936435" w:rsidP="009A4CF7">
            <w:pPr>
              <w:pStyle w:val="NOSBodyHeading"/>
              <w:numPr>
                <w:ilvl w:val="0"/>
                <w:numId w:val="17"/>
              </w:numPr>
              <w:spacing w:line="276" w:lineRule="auto"/>
              <w:rPr>
                <w:b w:val="0"/>
              </w:rPr>
            </w:pPr>
            <w:r>
              <w:rPr>
                <w:b w:val="0"/>
              </w:rPr>
              <w:t>a</w:t>
            </w:r>
            <w:r w:rsidR="009A4CF7">
              <w:rPr>
                <w:b w:val="0"/>
              </w:rPr>
              <w:t>cknowledge and carry out orders as given by the officer of the watch</w:t>
            </w:r>
          </w:p>
          <w:p w:rsidR="009A4CF7" w:rsidRPr="001B0A7B" w:rsidRDefault="00936435" w:rsidP="009A4CF7">
            <w:pPr>
              <w:pStyle w:val="NOSBodyHeading"/>
              <w:numPr>
                <w:ilvl w:val="0"/>
                <w:numId w:val="17"/>
              </w:numPr>
              <w:spacing w:line="276" w:lineRule="auto"/>
              <w:rPr>
                <w:b w:val="0"/>
              </w:rPr>
            </w:pPr>
            <w:r>
              <w:rPr>
                <w:b w:val="0"/>
              </w:rPr>
              <w:t>s</w:t>
            </w:r>
            <w:r w:rsidR="009A4CF7">
              <w:rPr>
                <w:b w:val="0"/>
              </w:rPr>
              <w:t>eek advice and clarification from the officer of the watch when communications are not clearly understood and communicate clearly and concisely</w:t>
            </w:r>
          </w:p>
          <w:p w:rsidR="009A4CF7" w:rsidRPr="001B0A7B" w:rsidRDefault="00936435" w:rsidP="009A4CF7">
            <w:pPr>
              <w:pStyle w:val="NOSBodyHeading"/>
              <w:numPr>
                <w:ilvl w:val="0"/>
                <w:numId w:val="17"/>
              </w:numPr>
              <w:spacing w:line="276" w:lineRule="auto"/>
              <w:rPr>
                <w:b w:val="0"/>
              </w:rPr>
            </w:pPr>
            <w:r>
              <w:rPr>
                <w:b w:val="0"/>
              </w:rPr>
              <w:t>t</w:t>
            </w:r>
            <w:r w:rsidR="009A4CF7">
              <w:rPr>
                <w:b w:val="0"/>
              </w:rPr>
              <w:t>ake measures to ensure protection of the environment</w:t>
            </w:r>
          </w:p>
          <w:p w:rsidR="009A4CF7" w:rsidRPr="001B0A7B" w:rsidRDefault="00936435" w:rsidP="009A4CF7">
            <w:pPr>
              <w:pStyle w:val="NOSBodyHeading"/>
              <w:numPr>
                <w:ilvl w:val="0"/>
                <w:numId w:val="17"/>
              </w:numPr>
              <w:spacing w:line="276" w:lineRule="auto"/>
              <w:rPr>
                <w:b w:val="0"/>
              </w:rPr>
            </w:pPr>
            <w:r>
              <w:rPr>
                <w:b w:val="0"/>
              </w:rPr>
              <w:t>t</w:t>
            </w:r>
            <w:r w:rsidR="009A4CF7">
              <w:rPr>
                <w:b w:val="0"/>
              </w:rPr>
              <w:t>ake and report accurate readings from machinery, equipment and systems</w:t>
            </w:r>
          </w:p>
          <w:p w:rsidR="009A4CF7" w:rsidRPr="001B0A7B" w:rsidRDefault="00936435" w:rsidP="009A4CF7">
            <w:pPr>
              <w:pStyle w:val="NOSBodyHeading"/>
              <w:numPr>
                <w:ilvl w:val="0"/>
                <w:numId w:val="17"/>
              </w:numPr>
              <w:spacing w:line="276" w:lineRule="auto"/>
              <w:rPr>
                <w:b w:val="0"/>
              </w:rPr>
            </w:pPr>
            <w:r>
              <w:rPr>
                <w:b w:val="0"/>
              </w:rPr>
              <w:t>i</w:t>
            </w:r>
            <w:r w:rsidR="009A4CF7">
              <w:rPr>
                <w:b w:val="0"/>
              </w:rPr>
              <w:t>dentify and report malfunctions and deviations promptly to maintain safe operation</w:t>
            </w:r>
          </w:p>
          <w:p w:rsidR="003C6D88" w:rsidRPr="001B0A7B" w:rsidRDefault="00936435" w:rsidP="00936435">
            <w:pPr>
              <w:pStyle w:val="NOSBodyHeading"/>
              <w:numPr>
                <w:ilvl w:val="0"/>
                <w:numId w:val="17"/>
              </w:numPr>
              <w:spacing w:line="276" w:lineRule="auto"/>
              <w:rPr>
                <w:b w:val="0"/>
              </w:rPr>
            </w:pPr>
            <w:r>
              <w:rPr>
                <w:b w:val="0"/>
              </w:rPr>
              <w:t>r</w:t>
            </w:r>
            <w:r w:rsidR="009A4CF7">
              <w:rPr>
                <w:b w:val="0"/>
              </w:rPr>
              <w:t xml:space="preserve">espond correctly to alarms and emergency situations </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A84AB5"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F33BB6" w:rsidRDefault="00F33BB6" w:rsidP="00F33BB6">
            <w:pPr>
              <w:pStyle w:val="NOSBodyHeading"/>
              <w:spacing w:line="276" w:lineRule="auto"/>
              <w:rPr>
                <w:rFonts w:cs="Arial"/>
                <w:b w:val="0"/>
              </w:rPr>
            </w:pPr>
            <w:bookmarkStart w:id="7" w:name="StartKnowledge"/>
            <w:bookmarkEnd w:id="7"/>
          </w:p>
          <w:p w:rsidR="00936435" w:rsidRDefault="00936435" w:rsidP="00F33BB6">
            <w:pPr>
              <w:pStyle w:val="NOSBodyHeading"/>
              <w:spacing w:line="276" w:lineRule="auto"/>
              <w:rPr>
                <w:rFonts w:cs="Arial"/>
                <w:b w:val="0"/>
              </w:rPr>
            </w:pPr>
          </w:p>
          <w:p w:rsidR="00F33BB6" w:rsidRPr="001B0A7B" w:rsidRDefault="00F33BB6" w:rsidP="00F33BB6">
            <w:pPr>
              <w:pStyle w:val="NOSBodyHeading"/>
              <w:spacing w:line="276" w:lineRule="auto"/>
              <w:rPr>
                <w:b w:val="0"/>
              </w:rPr>
            </w:pPr>
          </w:p>
          <w:p w:rsidR="00F33BB6" w:rsidRPr="001B0A7B" w:rsidRDefault="00D231AD" w:rsidP="00936435">
            <w:pPr>
              <w:pStyle w:val="NOSBodyHeading"/>
              <w:numPr>
                <w:ilvl w:val="1"/>
                <w:numId w:val="18"/>
              </w:numPr>
              <w:spacing w:line="276" w:lineRule="auto"/>
              <w:ind w:left="567" w:hanging="567"/>
              <w:rPr>
                <w:b w:val="0"/>
              </w:rPr>
            </w:pPr>
            <w:r>
              <w:rPr>
                <w:b w:val="0"/>
              </w:rPr>
              <w:t>h</w:t>
            </w:r>
            <w:r w:rsidR="00F33BB6">
              <w:rPr>
                <w:b w:val="0"/>
              </w:rPr>
              <w:t>ow to hand over and relieve a watch and the principles and procedures involved</w:t>
            </w:r>
          </w:p>
          <w:p w:rsidR="00F33BB6" w:rsidRPr="001B0A7B" w:rsidRDefault="00D231AD" w:rsidP="00936435">
            <w:pPr>
              <w:pStyle w:val="NOSBodyHeading"/>
              <w:numPr>
                <w:ilvl w:val="1"/>
                <w:numId w:val="18"/>
              </w:numPr>
              <w:spacing w:line="276" w:lineRule="auto"/>
              <w:ind w:left="567" w:hanging="567"/>
              <w:rPr>
                <w:b w:val="0"/>
              </w:rPr>
            </w:pPr>
            <w:r>
              <w:rPr>
                <w:b w:val="0"/>
              </w:rPr>
              <w:t>t</w:t>
            </w:r>
            <w:r w:rsidR="00F33BB6">
              <w:rPr>
                <w:b w:val="0"/>
              </w:rPr>
              <w:t>he routine duties and procedures to be carried out during an engineering watch</w:t>
            </w:r>
          </w:p>
          <w:p w:rsidR="00F33BB6" w:rsidRDefault="00D231AD" w:rsidP="00936435">
            <w:pPr>
              <w:pStyle w:val="NOSBodyHeading"/>
              <w:numPr>
                <w:ilvl w:val="1"/>
                <w:numId w:val="18"/>
              </w:numPr>
              <w:spacing w:line="276" w:lineRule="auto"/>
              <w:ind w:left="567" w:hanging="567"/>
              <w:rPr>
                <w:b w:val="0"/>
              </w:rPr>
            </w:pPr>
            <w:r>
              <w:rPr>
                <w:b w:val="0"/>
              </w:rPr>
              <w:t>t</w:t>
            </w:r>
            <w:r w:rsidR="00F33BB6">
              <w:rPr>
                <w:b w:val="0"/>
              </w:rPr>
              <w:t>he safe working practices to be used during operations</w:t>
            </w:r>
          </w:p>
          <w:p w:rsidR="00760A7E" w:rsidRPr="001B0A7B" w:rsidRDefault="00760A7E" w:rsidP="00936435">
            <w:pPr>
              <w:pStyle w:val="NOSBodyHeading"/>
              <w:numPr>
                <w:ilvl w:val="1"/>
                <w:numId w:val="18"/>
              </w:numPr>
              <w:spacing w:line="276" w:lineRule="auto"/>
              <w:ind w:left="567" w:hanging="567"/>
              <w:rPr>
                <w:b w:val="0"/>
              </w:rPr>
            </w:pPr>
            <w:r>
              <w:rPr>
                <w:b w:val="0"/>
              </w:rPr>
              <w:t>entry into enclosed spaces</w:t>
            </w:r>
          </w:p>
          <w:p w:rsidR="00F33BB6" w:rsidRPr="001B0A7B" w:rsidRDefault="00D231AD" w:rsidP="00936435">
            <w:pPr>
              <w:pStyle w:val="NOSBodyHeading"/>
              <w:numPr>
                <w:ilvl w:val="1"/>
                <w:numId w:val="18"/>
              </w:numPr>
              <w:spacing w:line="276" w:lineRule="auto"/>
              <w:ind w:left="567" w:hanging="567"/>
              <w:rPr>
                <w:b w:val="0"/>
              </w:rPr>
            </w:pPr>
            <w:r>
              <w:rPr>
                <w:b w:val="0"/>
              </w:rPr>
              <w:t>b</w:t>
            </w:r>
            <w:r w:rsidR="00F33BB6">
              <w:rPr>
                <w:b w:val="0"/>
              </w:rPr>
              <w:t>asic environmental protection procedures to be carried out</w:t>
            </w:r>
          </w:p>
          <w:p w:rsidR="00F33BB6" w:rsidRPr="001B0A7B" w:rsidRDefault="00D231AD" w:rsidP="00936435">
            <w:pPr>
              <w:pStyle w:val="NOSBodyHeading"/>
              <w:numPr>
                <w:ilvl w:val="1"/>
                <w:numId w:val="18"/>
              </w:numPr>
              <w:spacing w:line="276" w:lineRule="auto"/>
              <w:ind w:left="567" w:hanging="567"/>
              <w:rPr>
                <w:b w:val="0"/>
              </w:rPr>
            </w:pPr>
            <w:r>
              <w:rPr>
                <w:b w:val="0"/>
              </w:rPr>
              <w:t>t</w:t>
            </w:r>
            <w:r w:rsidR="00F33BB6">
              <w:rPr>
                <w:b w:val="0"/>
              </w:rPr>
              <w:t>he alarm and emergency shut down system including fire extinguishing gas alarms</w:t>
            </w:r>
          </w:p>
          <w:p w:rsidR="00936435" w:rsidRDefault="00D231AD" w:rsidP="00936435">
            <w:pPr>
              <w:pStyle w:val="NOSBodyHeading"/>
              <w:numPr>
                <w:ilvl w:val="1"/>
                <w:numId w:val="18"/>
              </w:numPr>
              <w:spacing w:line="276" w:lineRule="auto"/>
              <w:ind w:left="567" w:hanging="567"/>
              <w:rPr>
                <w:b w:val="0"/>
              </w:rPr>
            </w:pPr>
            <w:r>
              <w:rPr>
                <w:b w:val="0"/>
              </w:rPr>
              <w:t>h</w:t>
            </w:r>
            <w:r w:rsidR="00F33BB6">
              <w:rPr>
                <w:b w:val="0"/>
              </w:rPr>
              <w:t>ow to react to alarms and multiple alarms</w:t>
            </w:r>
          </w:p>
          <w:p w:rsidR="00F33BB6" w:rsidRPr="00936435" w:rsidRDefault="00D231AD" w:rsidP="00936435">
            <w:pPr>
              <w:pStyle w:val="NOSBodyHeading"/>
              <w:numPr>
                <w:ilvl w:val="1"/>
                <w:numId w:val="18"/>
              </w:numPr>
              <w:spacing w:line="276" w:lineRule="auto"/>
              <w:ind w:left="567" w:hanging="567"/>
              <w:rPr>
                <w:b w:val="0"/>
              </w:rPr>
            </w:pPr>
            <w:r>
              <w:rPr>
                <w:b w:val="0"/>
              </w:rPr>
              <w:t>e</w:t>
            </w:r>
            <w:r w:rsidR="00F33BB6" w:rsidRPr="00936435">
              <w:rPr>
                <w:b w:val="0"/>
              </w:rPr>
              <w:t>scape routes from the machinery space</w:t>
            </w:r>
          </w:p>
          <w:p w:rsidR="00F33BB6" w:rsidRPr="001B0A7B" w:rsidRDefault="00D231AD" w:rsidP="00936435">
            <w:pPr>
              <w:pStyle w:val="NOSBodyHeading"/>
              <w:numPr>
                <w:ilvl w:val="1"/>
                <w:numId w:val="18"/>
              </w:numPr>
              <w:spacing w:line="276" w:lineRule="auto"/>
              <w:ind w:left="567" w:hanging="567"/>
              <w:rPr>
                <w:b w:val="0"/>
              </w:rPr>
            </w:pPr>
            <w:r>
              <w:rPr>
                <w:b w:val="0"/>
              </w:rPr>
              <w:t>l</w:t>
            </w:r>
            <w:r w:rsidR="00F33BB6">
              <w:rPr>
                <w:b w:val="0"/>
              </w:rPr>
              <w:t>ocation and use of fire-fighting and damage control equipment</w:t>
            </w:r>
          </w:p>
          <w:p w:rsidR="00F33BB6" w:rsidRPr="001B0A7B" w:rsidRDefault="00D231AD" w:rsidP="00936435">
            <w:pPr>
              <w:pStyle w:val="NOSBodyHeading"/>
              <w:numPr>
                <w:ilvl w:val="1"/>
                <w:numId w:val="18"/>
              </w:numPr>
              <w:spacing w:line="276" w:lineRule="auto"/>
              <w:ind w:left="567" w:hanging="567"/>
              <w:rPr>
                <w:b w:val="0"/>
              </w:rPr>
            </w:pPr>
            <w:proofErr w:type="gramStart"/>
            <w:r>
              <w:rPr>
                <w:b w:val="0"/>
              </w:rPr>
              <w:t>t</w:t>
            </w:r>
            <w:r w:rsidR="00F33BB6">
              <w:rPr>
                <w:b w:val="0"/>
              </w:rPr>
              <w:t>he</w:t>
            </w:r>
            <w:proofErr w:type="gramEnd"/>
            <w:r w:rsidR="00F33BB6">
              <w:rPr>
                <w:b w:val="0"/>
              </w:rPr>
              <w:t xml:space="preserve"> use of internal communication systems and effective forms of communication.</w:t>
            </w:r>
          </w:p>
          <w:p w:rsidR="00F33BB6" w:rsidRPr="001B0A7B" w:rsidRDefault="00FA196D" w:rsidP="00936435">
            <w:pPr>
              <w:pStyle w:val="NOSBodyHeading"/>
              <w:numPr>
                <w:ilvl w:val="1"/>
                <w:numId w:val="18"/>
              </w:numPr>
              <w:spacing w:line="276" w:lineRule="auto"/>
              <w:ind w:left="567" w:hanging="567"/>
              <w:rPr>
                <w:b w:val="0"/>
              </w:rPr>
            </w:pPr>
            <w:r>
              <w:rPr>
                <w:b w:val="0"/>
              </w:rPr>
              <w:t xml:space="preserve">the basics of </w:t>
            </w:r>
            <w:r w:rsidR="00D231AD">
              <w:rPr>
                <w:b w:val="0"/>
              </w:rPr>
              <w:t>s</w:t>
            </w:r>
            <w:r w:rsidR="00F33BB6">
              <w:rPr>
                <w:b w:val="0"/>
              </w:rPr>
              <w:t>tatutory regulations and guidelines, organisational instructions and guidance, and vessel contingency plans</w:t>
            </w:r>
          </w:p>
          <w:p w:rsidR="00006091" w:rsidRPr="001B0A7B" w:rsidRDefault="00006091" w:rsidP="00F33BB6">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D928A3" w:rsidRDefault="00D928A3" w:rsidP="00D928A3">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A84AB5"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936435"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A84AB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B5287A" w:rsidP="001F6BF7">
            <w:pPr>
              <w:pStyle w:val="NOSBodyText"/>
              <w:rPr>
                <w:color w:val="221E1F"/>
              </w:rPr>
            </w:pPr>
            <w:bookmarkStart w:id="13" w:name="StartApproved"/>
            <w:bookmarkEnd w:id="13"/>
            <w:r>
              <w:rPr>
                <w:color w:val="221E1F"/>
              </w:rPr>
              <w:t>January 2012</w:t>
            </w:r>
          </w:p>
          <w:p w:rsidR="001F6BF7" w:rsidRPr="004E05F7" w:rsidRDefault="001F6BF7" w:rsidP="001F6BF7">
            <w:pPr>
              <w:pStyle w:val="NOSBodyText"/>
              <w:rPr>
                <w:color w:val="221E1F"/>
              </w:rPr>
            </w:pPr>
            <w:bookmarkStart w:id="14" w:name="EndApproved"/>
            <w:bookmarkEnd w:id="14"/>
          </w:p>
        </w:tc>
      </w:tr>
      <w:tr w:rsidR="0052780A" w:rsidRPr="00CF4D98" w:rsidTr="00690067">
        <w:tc>
          <w:tcPr>
            <w:tcW w:w="2518" w:type="dxa"/>
          </w:tcPr>
          <w:p w:rsidR="0052780A" w:rsidRDefault="00A84AB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B5287A" w:rsidP="00690067">
            <w:pPr>
              <w:pStyle w:val="NOSBodyText"/>
              <w:rPr>
                <w:rStyle w:val="A3"/>
              </w:rPr>
            </w:pPr>
            <w:bookmarkStart w:id="15" w:name="StartReview"/>
            <w:bookmarkEnd w:id="15"/>
            <w:r>
              <w:rPr>
                <w:rStyle w:val="A3"/>
              </w:rPr>
              <w:t>December 2016</w:t>
            </w:r>
          </w:p>
          <w:p w:rsidR="001F6BF7" w:rsidRPr="004E05F7" w:rsidRDefault="001F6BF7" w:rsidP="00690067">
            <w:pPr>
              <w:pStyle w:val="NOSBodyText"/>
              <w:rPr>
                <w:color w:val="221E1F"/>
              </w:rPr>
            </w:pPr>
            <w:bookmarkStart w:id="16" w:name="EndReview"/>
            <w:bookmarkEnd w:id="16"/>
          </w:p>
        </w:tc>
      </w:tr>
      <w:tr w:rsidR="0052780A" w:rsidRPr="00CF4D98" w:rsidTr="00690067">
        <w:tc>
          <w:tcPr>
            <w:tcW w:w="2518" w:type="dxa"/>
          </w:tcPr>
          <w:p w:rsidR="0052780A" w:rsidRPr="004E05F7" w:rsidRDefault="00A84AB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431F9A" w:rsidP="00690067">
            <w:pPr>
              <w:pStyle w:val="NOSBodyText"/>
              <w:rPr>
                <w:rStyle w:val="A3"/>
              </w:rPr>
            </w:pPr>
            <w:bookmarkStart w:id="17" w:name="StartValidity"/>
            <w:bookmarkEnd w:id="17"/>
            <w:r>
              <w:rPr>
                <w:rStyle w:val="A3"/>
              </w:rPr>
              <w:t>Current</w:t>
            </w:r>
          </w:p>
          <w:p w:rsidR="0052780A" w:rsidRPr="004E05F7" w:rsidRDefault="0052780A" w:rsidP="00690067">
            <w:pPr>
              <w:pStyle w:val="NOSBodyText"/>
              <w:rPr>
                <w:color w:val="221E1F"/>
              </w:rPr>
            </w:pPr>
            <w:bookmarkStart w:id="18" w:name="EndValidity"/>
            <w:bookmarkEnd w:id="18"/>
          </w:p>
        </w:tc>
      </w:tr>
      <w:tr w:rsidR="0052780A" w:rsidRPr="00CF4D98" w:rsidTr="00690067">
        <w:tc>
          <w:tcPr>
            <w:tcW w:w="2518" w:type="dxa"/>
          </w:tcPr>
          <w:p w:rsidR="0052780A" w:rsidRPr="004E05F7" w:rsidRDefault="00A84AB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431F9A" w:rsidP="001F6BF7">
            <w:pPr>
              <w:pStyle w:val="NOSBodyText"/>
              <w:rPr>
                <w:color w:val="221E1F"/>
              </w:rPr>
            </w:pPr>
            <w:bookmarkStart w:id="19" w:name="StartStatus"/>
            <w:bookmarkEnd w:id="19"/>
            <w:r>
              <w:rPr>
                <w:color w:val="221E1F"/>
              </w:rPr>
              <w:t>Original</w:t>
            </w:r>
          </w:p>
          <w:p w:rsidR="001F6BF7" w:rsidRPr="004E05F7" w:rsidRDefault="001F6BF7" w:rsidP="001F6BF7">
            <w:pPr>
              <w:pStyle w:val="NOSBodyText"/>
              <w:rPr>
                <w:color w:val="221E1F"/>
              </w:rPr>
            </w:pPr>
            <w:bookmarkStart w:id="20" w:name="EndStatus"/>
            <w:bookmarkEnd w:id="20"/>
          </w:p>
        </w:tc>
      </w:tr>
      <w:tr w:rsidR="0052780A" w:rsidRPr="00CF4D98" w:rsidTr="00690067">
        <w:tc>
          <w:tcPr>
            <w:tcW w:w="2518" w:type="dxa"/>
          </w:tcPr>
          <w:p w:rsidR="0052780A" w:rsidRDefault="00A84AB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936435" w:rsidP="001F6BF7">
            <w:pPr>
              <w:pStyle w:val="NOSBodyText"/>
              <w:rPr>
                <w:color w:val="221E1F"/>
              </w:rPr>
            </w:pPr>
            <w:bookmarkStart w:id="21" w:name="StartOrigin"/>
            <w:bookmarkEnd w:id="21"/>
            <w:r>
              <w:rPr>
                <w:color w:val="221E1F"/>
              </w:rPr>
              <w:t>Skills for Justice</w:t>
            </w:r>
          </w:p>
          <w:p w:rsidR="005E6FAE" w:rsidRPr="004E05F7" w:rsidRDefault="005E6FAE" w:rsidP="001F6BF7">
            <w:pPr>
              <w:pStyle w:val="NOSBodyText"/>
              <w:rPr>
                <w:color w:val="221E1F"/>
              </w:rPr>
            </w:pPr>
            <w:bookmarkStart w:id="22" w:name="EndOrigin"/>
            <w:bookmarkEnd w:id="22"/>
          </w:p>
        </w:tc>
      </w:tr>
      <w:tr w:rsidR="0052780A" w:rsidRPr="00CF4D98" w:rsidTr="00690067">
        <w:tc>
          <w:tcPr>
            <w:tcW w:w="2518" w:type="dxa"/>
          </w:tcPr>
          <w:p w:rsidR="0052780A" w:rsidRPr="004E05F7" w:rsidRDefault="00A84AB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B5287A" w:rsidP="001F6BF7">
            <w:pPr>
              <w:pStyle w:val="NOSBodyText"/>
              <w:rPr>
                <w:color w:val="221E1F"/>
              </w:rPr>
            </w:pPr>
            <w:bookmarkStart w:id="23" w:name="StartOriginURN"/>
            <w:bookmarkEnd w:id="23"/>
            <w:r>
              <w:rPr>
                <w:color w:val="221E1F"/>
              </w:rPr>
              <w:t xml:space="preserve">MSA </w:t>
            </w:r>
            <w:r w:rsidR="008E4D26">
              <w:rPr>
                <w:color w:val="221E1F"/>
              </w:rPr>
              <w:t>C02</w:t>
            </w:r>
          </w:p>
          <w:p w:rsidR="001F6BF7" w:rsidRPr="004E05F7" w:rsidRDefault="001F6BF7" w:rsidP="001F6BF7">
            <w:pPr>
              <w:pStyle w:val="NOSBodyText"/>
              <w:rPr>
                <w:color w:val="221E1F"/>
              </w:rPr>
            </w:pPr>
            <w:bookmarkStart w:id="24" w:name="EndOriginURN"/>
            <w:bookmarkEnd w:id="24"/>
          </w:p>
        </w:tc>
      </w:tr>
      <w:tr w:rsidR="0052780A" w:rsidRPr="00CF4D98" w:rsidTr="00690067">
        <w:tc>
          <w:tcPr>
            <w:tcW w:w="2518" w:type="dxa"/>
          </w:tcPr>
          <w:p w:rsidR="0052780A" w:rsidRDefault="00A84AB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4E05F7" w:rsidRDefault="008E4D26" w:rsidP="00D95A32">
            <w:pPr>
              <w:pStyle w:val="NOSBodyText"/>
              <w:rPr>
                <w:color w:val="221E1F"/>
              </w:rPr>
            </w:pPr>
            <w:bookmarkStart w:id="25" w:name="StartOccupations"/>
            <w:bookmarkStart w:id="26" w:name="EndOccupations"/>
            <w:bookmarkEnd w:id="25"/>
            <w:bookmarkEnd w:id="26"/>
            <w:r>
              <w:rPr>
                <w:color w:val="221E1F"/>
              </w:rPr>
              <w:t>Engineer</w:t>
            </w:r>
            <w:bookmarkStart w:id="27" w:name="Endrelevantoccupations"/>
            <w:bookmarkEnd w:id="27"/>
          </w:p>
        </w:tc>
      </w:tr>
      <w:tr w:rsidR="0052780A" w:rsidRPr="00CF4D98" w:rsidTr="00690067">
        <w:tc>
          <w:tcPr>
            <w:tcW w:w="2518" w:type="dxa"/>
          </w:tcPr>
          <w:p w:rsidR="0052780A" w:rsidRPr="004E05F7" w:rsidRDefault="00A84AB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936435" w:rsidP="001F6BF7">
            <w:pPr>
              <w:pStyle w:val="NOSBodyText"/>
              <w:rPr>
                <w:color w:val="221E1F"/>
              </w:rPr>
            </w:pPr>
            <w:bookmarkStart w:id="28" w:name="StartSuite"/>
            <w:bookmarkEnd w:id="28"/>
            <w:r>
              <w:rPr>
                <w:color w:val="221E1F"/>
              </w:rPr>
              <w:t>Maritime</w:t>
            </w:r>
          </w:p>
          <w:p w:rsidR="001F6BF7" w:rsidRPr="004E05F7" w:rsidRDefault="001F6BF7" w:rsidP="001F6BF7">
            <w:pPr>
              <w:pStyle w:val="NOSBodyText"/>
              <w:rPr>
                <w:color w:val="221E1F"/>
              </w:rPr>
            </w:pPr>
            <w:bookmarkStart w:id="29" w:name="EndSuite"/>
            <w:bookmarkEnd w:id="29"/>
          </w:p>
        </w:tc>
      </w:tr>
      <w:tr w:rsidR="0052780A" w:rsidRPr="00CF4D98" w:rsidTr="00690067">
        <w:tc>
          <w:tcPr>
            <w:tcW w:w="2518" w:type="dxa"/>
          </w:tcPr>
          <w:p w:rsidR="0052780A" w:rsidRPr="004E05F7" w:rsidRDefault="00A84AB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8E4D26" w:rsidP="008E4D26">
            <w:pPr>
              <w:pStyle w:val="NOSNumberList"/>
              <w:numPr>
                <w:ilvl w:val="0"/>
                <w:numId w:val="0"/>
              </w:numPr>
              <w:spacing w:line="276" w:lineRule="exact"/>
              <w:rPr>
                <w:color w:val="221E1F"/>
              </w:rPr>
            </w:pPr>
            <w:bookmarkStart w:id="30" w:name="StartKeywords"/>
            <w:bookmarkEnd w:id="30"/>
            <w:r>
              <w:t xml:space="preserve">engine room watch; watch-keeping duties; operation of the machinery; safety of the engine-room; vessel under instruction </w:t>
            </w:r>
            <w:bookmarkStart w:id="31" w:name="EndKeywords"/>
            <w:bookmarkEnd w:id="31"/>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25D" w:rsidRDefault="0006525D" w:rsidP="00521BFC">
      <w:r>
        <w:separator/>
      </w:r>
    </w:p>
  </w:endnote>
  <w:endnote w:type="continuationSeparator" w:id="0">
    <w:p w:rsidR="0006525D" w:rsidRDefault="0006525D"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B5287A" w:rsidP="009F7CB5">
    <w:pPr>
      <w:pStyle w:val="Footer"/>
      <w:tabs>
        <w:tab w:val="left" w:pos="1200"/>
        <w:tab w:val="right" w:pos="10206"/>
      </w:tabs>
      <w:rPr>
        <w:sz w:val="18"/>
        <w:szCs w:val="18"/>
      </w:rPr>
    </w:pPr>
    <w:r w:rsidRPr="00B5287A">
      <w:rPr>
        <w:rFonts w:ascii="Arial" w:eastAsiaTheme="minorHAnsi" w:hAnsi="Arial" w:cs="Arial"/>
        <w:noProof/>
        <w:sz w:val="14"/>
        <w:szCs w:val="14"/>
      </w:rPr>
      <w:t>MSA C02</w:t>
    </w:r>
    <w:r>
      <w:rPr>
        <w:rFonts w:ascii="Arial" w:eastAsiaTheme="minorHAnsi" w:hAnsi="Arial" w:cs="Arial"/>
        <w:noProof/>
        <w:sz w:val="14"/>
        <w:szCs w:val="14"/>
      </w:rPr>
      <w:t xml:space="preserve"> </w:t>
    </w:r>
    <w:r w:rsidRPr="00B5287A">
      <w:rPr>
        <w:rFonts w:ascii="Arial" w:eastAsiaTheme="minorHAnsi" w:hAnsi="Arial" w:cs="Arial"/>
        <w:noProof/>
        <w:sz w:val="14"/>
        <w:szCs w:val="14"/>
      </w:rPr>
      <w:t>Contribute to an engine room watch</w:t>
    </w:r>
    <w:r w:rsidR="009F7CB5">
      <w:rPr>
        <w:sz w:val="18"/>
        <w:szCs w:val="18"/>
      </w:rPr>
      <w:tab/>
    </w:r>
    <w:r w:rsidR="009F7CB5">
      <w:rPr>
        <w:sz w:val="18"/>
        <w:szCs w:val="18"/>
      </w:rPr>
      <w:tab/>
    </w:r>
    <w:r w:rsidR="009F7CB5">
      <w:rPr>
        <w:sz w:val="18"/>
        <w:szCs w:val="18"/>
      </w:rPr>
      <w:tab/>
    </w:r>
    <w:r w:rsidR="00A84AB5"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A84AB5" w:rsidRPr="008C0064">
      <w:rPr>
        <w:rFonts w:ascii="Arial" w:hAnsi="Arial" w:cs="Arial"/>
        <w:sz w:val="14"/>
        <w:szCs w:val="14"/>
      </w:rPr>
      <w:fldChar w:fldCharType="separate"/>
    </w:r>
    <w:r w:rsidR="00955BA6">
      <w:rPr>
        <w:rFonts w:ascii="Arial" w:hAnsi="Arial" w:cs="Arial"/>
        <w:noProof/>
        <w:sz w:val="14"/>
        <w:szCs w:val="14"/>
      </w:rPr>
      <w:t>4</w:t>
    </w:r>
    <w:r w:rsidR="00A84AB5"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B5287A" w:rsidP="0086259F">
    <w:pPr>
      <w:pStyle w:val="Footer"/>
      <w:tabs>
        <w:tab w:val="left" w:pos="1200"/>
        <w:tab w:val="right" w:pos="10206"/>
      </w:tabs>
      <w:rPr>
        <w:sz w:val="18"/>
        <w:szCs w:val="18"/>
      </w:rPr>
    </w:pPr>
    <w:r w:rsidRPr="00B5287A">
      <w:rPr>
        <w:rFonts w:ascii="Arial" w:eastAsiaTheme="minorHAnsi" w:hAnsi="Arial" w:cs="Arial"/>
        <w:noProof/>
        <w:sz w:val="14"/>
        <w:szCs w:val="14"/>
      </w:rPr>
      <w:t>MSA C02</w:t>
    </w:r>
    <w:r>
      <w:rPr>
        <w:rFonts w:ascii="Arial" w:eastAsiaTheme="minorHAnsi" w:hAnsi="Arial" w:cs="Arial"/>
        <w:noProof/>
        <w:sz w:val="14"/>
        <w:szCs w:val="14"/>
      </w:rPr>
      <w:t xml:space="preserve"> </w:t>
    </w:r>
    <w:r w:rsidRPr="00B5287A">
      <w:rPr>
        <w:rFonts w:ascii="Arial" w:eastAsiaTheme="minorHAnsi" w:hAnsi="Arial" w:cs="Arial"/>
        <w:noProof/>
        <w:sz w:val="14"/>
        <w:szCs w:val="14"/>
      </w:rPr>
      <w:t>Contribute to an engine room watch</w:t>
    </w:r>
    <w:r w:rsidR="004323FE">
      <w:rPr>
        <w:sz w:val="18"/>
        <w:szCs w:val="18"/>
      </w:rPr>
      <w:tab/>
    </w:r>
    <w:r w:rsidR="004323FE">
      <w:rPr>
        <w:sz w:val="18"/>
        <w:szCs w:val="18"/>
      </w:rPr>
      <w:tab/>
    </w:r>
    <w:r w:rsidR="004323FE">
      <w:rPr>
        <w:sz w:val="18"/>
        <w:szCs w:val="18"/>
      </w:rPr>
      <w:tab/>
    </w:r>
    <w:r w:rsidR="00A84AB5"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A84AB5" w:rsidRPr="008C0064">
      <w:rPr>
        <w:rFonts w:ascii="Arial" w:hAnsi="Arial" w:cs="Arial"/>
        <w:sz w:val="14"/>
        <w:szCs w:val="14"/>
      </w:rPr>
      <w:fldChar w:fldCharType="separate"/>
    </w:r>
    <w:r w:rsidR="00955BA6">
      <w:rPr>
        <w:rFonts w:ascii="Arial" w:hAnsi="Arial" w:cs="Arial"/>
        <w:noProof/>
        <w:sz w:val="14"/>
        <w:szCs w:val="14"/>
      </w:rPr>
      <w:t>1</w:t>
    </w:r>
    <w:r w:rsidR="00A84AB5"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25D" w:rsidRDefault="0006525D" w:rsidP="00521BFC">
      <w:r>
        <w:separator/>
      </w:r>
    </w:p>
  </w:footnote>
  <w:footnote w:type="continuationSeparator" w:id="0">
    <w:p w:rsidR="0006525D" w:rsidRDefault="0006525D"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A84AB5" w:rsidP="002063F2">
    <w:pPr>
      <w:tabs>
        <w:tab w:val="left" w:pos="7140"/>
      </w:tabs>
    </w:pPr>
    <w:r w:rsidRPr="00A84AB5">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8E4D26">
      <w:rPr>
        <w:rFonts w:ascii="Arial" w:eastAsiaTheme="minorHAnsi" w:hAnsi="Arial" w:cs="Arial"/>
        <w:b/>
        <w:noProof/>
        <w:sz w:val="32"/>
        <w:szCs w:val="32"/>
      </w:rPr>
      <w:t xml:space="preserve">MSA </w:t>
    </w:r>
    <w:r w:rsidR="00936435">
      <w:rPr>
        <w:rFonts w:ascii="Arial" w:eastAsiaTheme="minorHAnsi" w:hAnsi="Arial" w:cs="Arial"/>
        <w:b/>
        <w:noProof/>
        <w:sz w:val="32"/>
        <w:szCs w:val="32"/>
      </w:rPr>
      <w:t>C02</w:t>
    </w:r>
    <w:r w:rsidR="002063F2" w:rsidRPr="003C6D88">
      <w:rPr>
        <w:rFonts w:eastAsiaTheme="minorHAnsi" w:cs="Courier New"/>
        <w:noProof/>
        <w:sz w:val="32"/>
        <w:szCs w:val="32"/>
      </w:rPr>
      <w:br/>
    </w:r>
    <w:r w:rsidR="00427CAF">
      <w:rPr>
        <w:rFonts w:ascii="Arial" w:eastAsiaTheme="minorHAnsi" w:hAnsi="Arial" w:cs="Arial"/>
        <w:noProof/>
        <w:sz w:val="32"/>
        <w:szCs w:val="32"/>
      </w:rPr>
      <w:t xml:space="preserve">Contribute to an </w:t>
    </w:r>
    <w:r w:rsidR="00760A7E">
      <w:rPr>
        <w:rFonts w:ascii="Arial" w:eastAsiaTheme="minorHAnsi" w:hAnsi="Arial" w:cs="Arial"/>
        <w:noProof/>
        <w:sz w:val="32"/>
        <w:szCs w:val="32"/>
      </w:rPr>
      <w:t>e</w:t>
    </w:r>
    <w:r w:rsidR="00427CAF">
      <w:rPr>
        <w:rFonts w:ascii="Arial" w:eastAsiaTheme="minorHAnsi" w:hAnsi="Arial" w:cs="Arial"/>
        <w:noProof/>
        <w:sz w:val="32"/>
        <w:szCs w:val="32"/>
      </w:rPr>
      <w:t xml:space="preserve">ngine </w:t>
    </w:r>
    <w:r w:rsidR="00760A7E">
      <w:rPr>
        <w:rFonts w:ascii="Arial" w:eastAsiaTheme="minorHAnsi" w:hAnsi="Arial" w:cs="Arial"/>
        <w:noProof/>
        <w:sz w:val="32"/>
        <w:szCs w:val="32"/>
      </w:rPr>
      <w:t>r</w:t>
    </w:r>
    <w:r w:rsidR="00427CAF">
      <w:rPr>
        <w:rFonts w:ascii="Arial" w:eastAsiaTheme="minorHAnsi" w:hAnsi="Arial" w:cs="Arial"/>
        <w:noProof/>
        <w:sz w:val="32"/>
        <w:szCs w:val="32"/>
      </w:rPr>
      <w:t xml:space="preserve">oom </w:t>
    </w:r>
    <w:r w:rsidR="00760A7E">
      <w:rPr>
        <w:rFonts w:ascii="Arial" w:eastAsiaTheme="minorHAnsi" w:hAnsi="Arial" w:cs="Arial"/>
        <w:noProof/>
        <w:sz w:val="32"/>
        <w:szCs w:val="32"/>
      </w:rPr>
      <w:t>w</w:t>
    </w:r>
    <w:r w:rsidR="00427CAF">
      <w:rPr>
        <w:rFonts w:ascii="Arial" w:eastAsiaTheme="minorHAnsi" w:hAnsi="Arial" w:cs="Arial"/>
        <w:noProof/>
        <w:sz w:val="32"/>
        <w:szCs w:val="32"/>
      </w:rPr>
      <w:t>atch</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8E4D26" w:rsidP="009A1F82">
          <w:pPr>
            <w:pStyle w:val="Header"/>
            <w:rPr>
              <w:rFonts w:ascii="Arial" w:hAnsi="Arial" w:cs="Arial"/>
              <w:b/>
              <w:sz w:val="32"/>
              <w:szCs w:val="32"/>
            </w:rPr>
          </w:pPr>
          <w:r>
            <w:rPr>
              <w:rFonts w:ascii="Arial" w:hAnsi="Arial" w:cs="Arial"/>
              <w:b/>
              <w:sz w:val="32"/>
              <w:szCs w:val="32"/>
            </w:rPr>
            <w:t xml:space="preserve">MSA </w:t>
          </w:r>
          <w:r w:rsidR="00936435">
            <w:rPr>
              <w:rFonts w:ascii="Arial" w:hAnsi="Arial" w:cs="Arial"/>
              <w:b/>
              <w:sz w:val="32"/>
              <w:szCs w:val="32"/>
            </w:rPr>
            <w:t>C02</w:t>
          </w:r>
        </w:p>
        <w:p w:rsidR="009A1F82" w:rsidRPr="00DF70EE" w:rsidRDefault="00427CAF" w:rsidP="00760A7E">
          <w:pPr>
            <w:pStyle w:val="Header"/>
            <w:rPr>
              <w:rFonts w:ascii="Arial" w:hAnsi="Arial" w:cs="Arial"/>
            </w:rPr>
          </w:pPr>
          <w:r>
            <w:rPr>
              <w:rFonts w:ascii="Arial" w:hAnsi="Arial" w:cs="Arial"/>
              <w:sz w:val="32"/>
              <w:szCs w:val="32"/>
            </w:rPr>
            <w:t xml:space="preserve">Contribute to an </w:t>
          </w:r>
          <w:r w:rsidR="00760A7E">
            <w:rPr>
              <w:rFonts w:ascii="Arial" w:hAnsi="Arial" w:cs="Arial"/>
              <w:sz w:val="32"/>
              <w:szCs w:val="32"/>
            </w:rPr>
            <w:t>e</w:t>
          </w:r>
          <w:r>
            <w:rPr>
              <w:rFonts w:ascii="Arial" w:hAnsi="Arial" w:cs="Arial"/>
              <w:sz w:val="32"/>
              <w:szCs w:val="32"/>
            </w:rPr>
            <w:t xml:space="preserve">ngine </w:t>
          </w:r>
          <w:r w:rsidR="00760A7E">
            <w:rPr>
              <w:rFonts w:ascii="Arial" w:hAnsi="Arial" w:cs="Arial"/>
              <w:sz w:val="32"/>
              <w:szCs w:val="32"/>
            </w:rPr>
            <w:t>r</w:t>
          </w:r>
          <w:r>
            <w:rPr>
              <w:rFonts w:ascii="Arial" w:hAnsi="Arial" w:cs="Arial"/>
              <w:sz w:val="32"/>
              <w:szCs w:val="32"/>
            </w:rPr>
            <w:t xml:space="preserve">oom </w:t>
          </w:r>
          <w:r w:rsidR="00760A7E">
            <w:rPr>
              <w:rFonts w:ascii="Arial" w:hAnsi="Arial" w:cs="Arial"/>
              <w:sz w:val="32"/>
              <w:szCs w:val="32"/>
            </w:rPr>
            <w:t>w</w:t>
          </w:r>
          <w:r>
            <w:rPr>
              <w:rFonts w:ascii="Arial" w:hAnsi="Arial" w:cs="Arial"/>
              <w:sz w:val="32"/>
              <w:szCs w:val="32"/>
            </w:rPr>
            <w:t>atch</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A84AB5"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15D6A98"/>
    <w:multiLevelType w:val="multilevel"/>
    <w:tmpl w:val="12964668"/>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4A57837"/>
    <w:multiLevelType w:val="multilevel"/>
    <w:tmpl w:val="FD38FA94"/>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81C7A83"/>
    <w:multiLevelType w:val="multilevel"/>
    <w:tmpl w:val="A6488544"/>
    <w:lvl w:ilvl="0">
      <w:start w:val="1"/>
      <w:numFmt w:val="decimal"/>
      <w:lvlRestart w:val="0"/>
      <w:lvlText w:val="K%1"/>
      <w:lvlJc w:val="left"/>
      <w:pPr>
        <w:ind w:left="567" w:hanging="567"/>
      </w:pPr>
      <w:rPr>
        <w:b w:val="0"/>
      </w:rPr>
    </w:lvl>
    <w:lvl w:ilvl="1">
      <w:start w:val="1"/>
      <w:numFmt w:val="decimal"/>
      <w:lvlText w:val="K%2"/>
      <w:lvlJc w:val="left"/>
      <w:pPr>
        <w:ind w:left="850" w:hanging="283"/>
      </w:pPr>
      <w:rPr>
        <w:rFonts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8"/>
  </w:num>
  <w:num w:numId="3">
    <w:abstractNumId w:val="2"/>
  </w:num>
  <w:num w:numId="4">
    <w:abstractNumId w:val="1"/>
  </w:num>
  <w:num w:numId="5">
    <w:abstractNumId w:val="13"/>
  </w:num>
  <w:num w:numId="6">
    <w:abstractNumId w:val="15"/>
  </w:num>
  <w:num w:numId="7">
    <w:abstractNumId w:val="4"/>
  </w:num>
  <w:num w:numId="8">
    <w:abstractNumId w:val="17"/>
  </w:num>
  <w:num w:numId="9">
    <w:abstractNumId w:val="16"/>
  </w:num>
  <w:num w:numId="10">
    <w:abstractNumId w:val="14"/>
  </w:num>
  <w:num w:numId="11">
    <w:abstractNumId w:val="10"/>
  </w:num>
  <w:num w:numId="12">
    <w:abstractNumId w:val="7"/>
  </w:num>
  <w:num w:numId="13">
    <w:abstractNumId w:val="3"/>
  </w:num>
  <w:num w:numId="14">
    <w:abstractNumId w:val="9"/>
  </w:num>
  <w:num w:numId="15">
    <w:abstractNumId w:val="0"/>
  </w:num>
  <w:num w:numId="16">
    <w:abstractNumId w:val="6"/>
  </w:num>
  <w:num w:numId="17">
    <w:abstractNumId w:val="11"/>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0865"/>
    <w:rsid w:val="00046ED1"/>
    <w:rsid w:val="0004792D"/>
    <w:rsid w:val="00051B82"/>
    <w:rsid w:val="000556CF"/>
    <w:rsid w:val="00064D57"/>
    <w:rsid w:val="0006525D"/>
    <w:rsid w:val="00066CD2"/>
    <w:rsid w:val="00070DCD"/>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06634"/>
    <w:rsid w:val="001103C6"/>
    <w:rsid w:val="00115544"/>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0DE8"/>
    <w:rsid w:val="00222188"/>
    <w:rsid w:val="002229B0"/>
    <w:rsid w:val="00224BC7"/>
    <w:rsid w:val="0024080B"/>
    <w:rsid w:val="002427F4"/>
    <w:rsid w:val="0025664D"/>
    <w:rsid w:val="0026199A"/>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23EF1"/>
    <w:rsid w:val="003319D1"/>
    <w:rsid w:val="00345B06"/>
    <w:rsid w:val="003521D1"/>
    <w:rsid w:val="00355332"/>
    <w:rsid w:val="0036118B"/>
    <w:rsid w:val="003722CD"/>
    <w:rsid w:val="00377DED"/>
    <w:rsid w:val="00380447"/>
    <w:rsid w:val="00384940"/>
    <w:rsid w:val="00387C8A"/>
    <w:rsid w:val="0039311D"/>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27CAF"/>
    <w:rsid w:val="00431135"/>
    <w:rsid w:val="00431CA1"/>
    <w:rsid w:val="00431F9A"/>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21DC"/>
    <w:rsid w:val="0050084C"/>
    <w:rsid w:val="005027E6"/>
    <w:rsid w:val="00506FFC"/>
    <w:rsid w:val="00515426"/>
    <w:rsid w:val="00517D6C"/>
    <w:rsid w:val="00521BFC"/>
    <w:rsid w:val="0052780A"/>
    <w:rsid w:val="00540315"/>
    <w:rsid w:val="00540609"/>
    <w:rsid w:val="00545BAC"/>
    <w:rsid w:val="00550971"/>
    <w:rsid w:val="00556342"/>
    <w:rsid w:val="00563BF7"/>
    <w:rsid w:val="005833E2"/>
    <w:rsid w:val="005A4236"/>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0A16"/>
    <w:rsid w:val="00724E04"/>
    <w:rsid w:val="00726306"/>
    <w:rsid w:val="00742745"/>
    <w:rsid w:val="00753242"/>
    <w:rsid w:val="00760A7E"/>
    <w:rsid w:val="007613C5"/>
    <w:rsid w:val="00762896"/>
    <w:rsid w:val="00762E29"/>
    <w:rsid w:val="00780EAB"/>
    <w:rsid w:val="00785D30"/>
    <w:rsid w:val="00791C53"/>
    <w:rsid w:val="007A13ED"/>
    <w:rsid w:val="007B0672"/>
    <w:rsid w:val="007C232F"/>
    <w:rsid w:val="007C7DC5"/>
    <w:rsid w:val="007D3CB0"/>
    <w:rsid w:val="007D52B7"/>
    <w:rsid w:val="007E7D16"/>
    <w:rsid w:val="007F16B8"/>
    <w:rsid w:val="0082306F"/>
    <w:rsid w:val="00823628"/>
    <w:rsid w:val="008403F9"/>
    <w:rsid w:val="0084302D"/>
    <w:rsid w:val="00846061"/>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8E4D26"/>
    <w:rsid w:val="00901FEF"/>
    <w:rsid w:val="0090468B"/>
    <w:rsid w:val="0090729C"/>
    <w:rsid w:val="0091573A"/>
    <w:rsid w:val="00926F31"/>
    <w:rsid w:val="00936435"/>
    <w:rsid w:val="009406A9"/>
    <w:rsid w:val="009413C7"/>
    <w:rsid w:val="009463CB"/>
    <w:rsid w:val="0094762A"/>
    <w:rsid w:val="009507C1"/>
    <w:rsid w:val="009524C5"/>
    <w:rsid w:val="00955BA6"/>
    <w:rsid w:val="00957D1B"/>
    <w:rsid w:val="00964343"/>
    <w:rsid w:val="009648B9"/>
    <w:rsid w:val="00965C13"/>
    <w:rsid w:val="00967459"/>
    <w:rsid w:val="00970FA0"/>
    <w:rsid w:val="00974A9C"/>
    <w:rsid w:val="009759E7"/>
    <w:rsid w:val="00987F3E"/>
    <w:rsid w:val="009966D8"/>
    <w:rsid w:val="009A1F82"/>
    <w:rsid w:val="009A4CF7"/>
    <w:rsid w:val="009B3DAA"/>
    <w:rsid w:val="009C3304"/>
    <w:rsid w:val="009C3949"/>
    <w:rsid w:val="009D063D"/>
    <w:rsid w:val="009D20A6"/>
    <w:rsid w:val="009D3E57"/>
    <w:rsid w:val="009E742F"/>
    <w:rsid w:val="009F1381"/>
    <w:rsid w:val="009F5881"/>
    <w:rsid w:val="009F7CB5"/>
    <w:rsid w:val="00A10E28"/>
    <w:rsid w:val="00A125F1"/>
    <w:rsid w:val="00A13C08"/>
    <w:rsid w:val="00A560A0"/>
    <w:rsid w:val="00A664B3"/>
    <w:rsid w:val="00A73B2E"/>
    <w:rsid w:val="00A84AB5"/>
    <w:rsid w:val="00A910A6"/>
    <w:rsid w:val="00A92AB5"/>
    <w:rsid w:val="00A9731F"/>
    <w:rsid w:val="00AA411C"/>
    <w:rsid w:val="00AA6624"/>
    <w:rsid w:val="00AB493E"/>
    <w:rsid w:val="00AB7B1B"/>
    <w:rsid w:val="00AC4740"/>
    <w:rsid w:val="00AC5EE5"/>
    <w:rsid w:val="00AE57EF"/>
    <w:rsid w:val="00B15A0B"/>
    <w:rsid w:val="00B165CE"/>
    <w:rsid w:val="00B4020E"/>
    <w:rsid w:val="00B51DAF"/>
    <w:rsid w:val="00B5287A"/>
    <w:rsid w:val="00B5446B"/>
    <w:rsid w:val="00B652FB"/>
    <w:rsid w:val="00B73F65"/>
    <w:rsid w:val="00B82F94"/>
    <w:rsid w:val="00B9514C"/>
    <w:rsid w:val="00B95F07"/>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D03896"/>
    <w:rsid w:val="00D057DE"/>
    <w:rsid w:val="00D13FFB"/>
    <w:rsid w:val="00D15081"/>
    <w:rsid w:val="00D231AD"/>
    <w:rsid w:val="00D27CC8"/>
    <w:rsid w:val="00D33BD9"/>
    <w:rsid w:val="00D50956"/>
    <w:rsid w:val="00D646F9"/>
    <w:rsid w:val="00D762B7"/>
    <w:rsid w:val="00D9240E"/>
    <w:rsid w:val="00D928A3"/>
    <w:rsid w:val="00D930C6"/>
    <w:rsid w:val="00D945AE"/>
    <w:rsid w:val="00D95A32"/>
    <w:rsid w:val="00DA0020"/>
    <w:rsid w:val="00DB1A9E"/>
    <w:rsid w:val="00DB2AA3"/>
    <w:rsid w:val="00DC076C"/>
    <w:rsid w:val="00DC2A28"/>
    <w:rsid w:val="00DC3A1B"/>
    <w:rsid w:val="00DD477E"/>
    <w:rsid w:val="00DD4972"/>
    <w:rsid w:val="00DD6775"/>
    <w:rsid w:val="00DE2894"/>
    <w:rsid w:val="00DE55C1"/>
    <w:rsid w:val="00DF4BC7"/>
    <w:rsid w:val="00DF70EE"/>
    <w:rsid w:val="00E01504"/>
    <w:rsid w:val="00E06A72"/>
    <w:rsid w:val="00E1299D"/>
    <w:rsid w:val="00E13090"/>
    <w:rsid w:val="00E2189F"/>
    <w:rsid w:val="00E23877"/>
    <w:rsid w:val="00E27661"/>
    <w:rsid w:val="00E30B15"/>
    <w:rsid w:val="00E528FC"/>
    <w:rsid w:val="00E569AA"/>
    <w:rsid w:val="00E664BC"/>
    <w:rsid w:val="00E66529"/>
    <w:rsid w:val="00E80A62"/>
    <w:rsid w:val="00EB50D3"/>
    <w:rsid w:val="00EC19B3"/>
    <w:rsid w:val="00EC1AA4"/>
    <w:rsid w:val="00EC71A9"/>
    <w:rsid w:val="00ED4338"/>
    <w:rsid w:val="00EE5D4B"/>
    <w:rsid w:val="00F02CCD"/>
    <w:rsid w:val="00F129CF"/>
    <w:rsid w:val="00F152BB"/>
    <w:rsid w:val="00F2327D"/>
    <w:rsid w:val="00F25CCF"/>
    <w:rsid w:val="00F2717E"/>
    <w:rsid w:val="00F307E2"/>
    <w:rsid w:val="00F33BB6"/>
    <w:rsid w:val="00F353EE"/>
    <w:rsid w:val="00F404FC"/>
    <w:rsid w:val="00F4296C"/>
    <w:rsid w:val="00F45010"/>
    <w:rsid w:val="00F45348"/>
    <w:rsid w:val="00F656FD"/>
    <w:rsid w:val="00F72712"/>
    <w:rsid w:val="00F75610"/>
    <w:rsid w:val="00F83C96"/>
    <w:rsid w:val="00F90C6C"/>
    <w:rsid w:val="00F90E29"/>
    <w:rsid w:val="00F96AF3"/>
    <w:rsid w:val="00FA164F"/>
    <w:rsid w:val="00FA196D"/>
    <w:rsid w:val="00FA5AB5"/>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0"/>
        <o:r id="V:Rule14" type="connector" idref="#_x0000_s1048"/>
        <o:r id="V:Rule15" type="connector" idref="#_x0000_s1039"/>
        <o:r id="V:Rule16" type="connector" idref="#_x0000_s1041"/>
        <o:r id="V:Rule17" type="connector" idref="#_x0000_s1043"/>
        <o:r id="V:Rule18" type="connector" idref="#_x0000_s1047"/>
        <o:r id="V:Rule19" type="connector" idref="#_x0000_s1042"/>
        <o:r id="V:Rule20" type="connector" idref="#_x0000_s1045"/>
        <o:r id="V:Rule21" type="connector" idref="#_x0000_s1044"/>
        <o:r id="V:Rule2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FA196D"/>
    <w:rPr>
      <w:sz w:val="16"/>
      <w:szCs w:val="16"/>
    </w:rPr>
  </w:style>
  <w:style w:type="paragraph" w:styleId="CommentText">
    <w:name w:val="annotation text"/>
    <w:basedOn w:val="Normal"/>
    <w:link w:val="CommentTextChar"/>
    <w:uiPriority w:val="99"/>
    <w:semiHidden/>
    <w:unhideWhenUsed/>
    <w:rsid w:val="00FA196D"/>
    <w:pPr>
      <w:spacing w:line="240" w:lineRule="auto"/>
    </w:pPr>
    <w:rPr>
      <w:sz w:val="20"/>
      <w:szCs w:val="20"/>
    </w:rPr>
  </w:style>
  <w:style w:type="character" w:customStyle="1" w:styleId="CommentTextChar">
    <w:name w:val="Comment Text Char"/>
    <w:basedOn w:val="DefaultParagraphFont"/>
    <w:link w:val="CommentText"/>
    <w:uiPriority w:val="99"/>
    <w:semiHidden/>
    <w:rsid w:val="00FA196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A196D"/>
    <w:rPr>
      <w:b/>
      <w:bCs/>
    </w:rPr>
  </w:style>
  <w:style w:type="character" w:customStyle="1" w:styleId="CommentSubjectChar">
    <w:name w:val="Comment Subject Char"/>
    <w:basedOn w:val="CommentTextChar"/>
    <w:link w:val="CommentSubject"/>
    <w:uiPriority w:val="99"/>
    <w:semiHidden/>
    <w:rsid w:val="00FA196D"/>
    <w:rPr>
      <w:b/>
      <w:bCs/>
    </w:rPr>
  </w:style>
</w:styles>
</file>

<file path=word/webSettings.xml><?xml version="1.0" encoding="utf-8"?>
<w:webSettings xmlns:r="http://schemas.openxmlformats.org/officeDocument/2006/relationships" xmlns:w="http://schemas.openxmlformats.org/wordprocessingml/2006/main">
  <w:divs>
    <w:div w:id="197220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282F70"/>
    <w:rsid w:val="002C46EF"/>
    <w:rsid w:val="003A303C"/>
    <w:rsid w:val="003C53C7"/>
    <w:rsid w:val="00401C66"/>
    <w:rsid w:val="00462417"/>
    <w:rsid w:val="004C5CB2"/>
    <w:rsid w:val="0053637E"/>
    <w:rsid w:val="00556BEC"/>
    <w:rsid w:val="00567979"/>
    <w:rsid w:val="005B7907"/>
    <w:rsid w:val="00691D82"/>
    <w:rsid w:val="006A5A2E"/>
    <w:rsid w:val="006D37C5"/>
    <w:rsid w:val="007312A6"/>
    <w:rsid w:val="00752FD9"/>
    <w:rsid w:val="008309C8"/>
    <w:rsid w:val="008777D8"/>
    <w:rsid w:val="008960EC"/>
    <w:rsid w:val="008A6D20"/>
    <w:rsid w:val="008B5E4D"/>
    <w:rsid w:val="009D0A55"/>
    <w:rsid w:val="00A53C9F"/>
    <w:rsid w:val="00AE20DC"/>
    <w:rsid w:val="00B37502"/>
    <w:rsid w:val="00C844BE"/>
    <w:rsid w:val="00CE1085"/>
    <w:rsid w:val="00E62584"/>
    <w:rsid w:val="00EC63D3"/>
    <w:rsid w:val="00F036A0"/>
    <w:rsid w:val="00F3383A"/>
    <w:rsid w:val="00FF6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6DC4D-3D61-42D5-8758-A034FE998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0CE35A45-AA79-4710-B68C-AA33C87F3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2011-11-15T12:57:00Z</dcterms:created>
  <dcterms:modified xsi:type="dcterms:W3CDTF">2012-02-23T14:20:00Z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